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简体" w:hAnsi="方正小标宋简体" w:eastAsia="方正小标宋简体"/>
          <w:sz w:val="44"/>
          <w:szCs w:val="44"/>
        </w:rPr>
      </w:pPr>
      <w:r>
        <w:rPr>
          <w:rFonts w:ascii="方正小标宋简体" w:hAnsi="方正小标宋简体" w:eastAsia="方正小标宋简体"/>
          <w:sz w:val="44"/>
          <w:szCs w:val="44"/>
        </w:rPr>
        <w:t>国瑞科技</w:t>
      </w:r>
      <w:r>
        <w:rPr>
          <w:rFonts w:hint="eastAsia" w:ascii="方正小标宋简体" w:hAnsi="方正小标宋简体" w:eastAsia="方正小标宋简体"/>
          <w:sz w:val="44"/>
          <w:szCs w:val="44"/>
        </w:rPr>
        <w:t>员工团体意外保险询比价</w:t>
      </w:r>
      <w:r>
        <w:rPr>
          <w:rFonts w:ascii="方正小标宋简体" w:hAnsi="方正小标宋简体" w:eastAsia="方正小标宋简体"/>
          <w:sz w:val="44"/>
          <w:szCs w:val="44"/>
        </w:rPr>
        <w:t>采购公告</w:t>
      </w:r>
    </w:p>
    <w:p>
      <w:pPr>
        <w:spacing w:line="600" w:lineRule="exact"/>
        <w:jc w:val="center"/>
        <w:rPr>
          <w:rFonts w:ascii="方正小标宋简体" w:hAnsi="方正小标宋简体" w:eastAsia="方正小标宋简体"/>
          <w:sz w:val="44"/>
          <w:szCs w:val="44"/>
        </w:rPr>
      </w:pPr>
    </w:p>
    <w:p>
      <w:pPr>
        <w:spacing w:line="600" w:lineRule="exact"/>
        <w:rPr>
          <w:rFonts w:hAnsi="方正小标宋简体"/>
        </w:rPr>
      </w:pPr>
      <w:r>
        <w:rPr>
          <w:rFonts w:hint="eastAsia" w:hAnsi="方正小标宋简体"/>
        </w:rPr>
        <w:t>各保险公司：</w:t>
      </w:r>
    </w:p>
    <w:p>
      <w:pPr>
        <w:spacing w:line="600" w:lineRule="exact"/>
        <w:ind w:firstLine="640" w:firstLineChars="200"/>
        <w:rPr>
          <w:rFonts w:hAnsi="方正小标宋简体"/>
        </w:rPr>
      </w:pPr>
      <w:r>
        <w:rPr>
          <w:rFonts w:hint="eastAsia" w:hAnsi="方正小标宋简体"/>
        </w:rPr>
        <w:t>我司拟对员工团体意外保险进行询比价采购，员工团体意外保险内容包括以下：</w:t>
      </w:r>
    </w:p>
    <w:tbl>
      <w:tblPr>
        <w:tblStyle w:val="9"/>
        <w:tblW w:w="8818" w:type="dxa"/>
        <w:tblInd w:w="108" w:type="dxa"/>
        <w:tblLayout w:type="autofit"/>
        <w:tblCellMar>
          <w:top w:w="0" w:type="dxa"/>
          <w:left w:w="108" w:type="dxa"/>
          <w:bottom w:w="0" w:type="dxa"/>
          <w:right w:w="108" w:type="dxa"/>
        </w:tblCellMar>
      </w:tblPr>
      <w:tblGrid>
        <w:gridCol w:w="2014"/>
        <w:gridCol w:w="1275"/>
        <w:gridCol w:w="2552"/>
        <w:gridCol w:w="2977"/>
      </w:tblGrid>
      <w:tr>
        <w:tblPrEx>
          <w:tblCellMar>
            <w:top w:w="0" w:type="dxa"/>
            <w:left w:w="108" w:type="dxa"/>
            <w:bottom w:w="0" w:type="dxa"/>
            <w:right w:w="108" w:type="dxa"/>
          </w:tblCellMar>
        </w:tblPrEx>
        <w:trPr>
          <w:trHeight w:val="684" w:hRule="atLeast"/>
        </w:trPr>
        <w:tc>
          <w:tcPr>
            <w:tcW w:w="3289" w:type="dxa"/>
            <w:gridSpan w:val="2"/>
            <w:tcBorders>
              <w:top w:val="single" w:color="auto" w:sz="4" w:space="0"/>
              <w:left w:val="single" w:color="auto" w:sz="4" w:space="0"/>
              <w:bottom w:val="single" w:color="auto" w:sz="4" w:space="0"/>
              <w:right w:val="single" w:color="auto" w:sz="4" w:space="0"/>
            </w:tcBorders>
            <w:shd w:val="clear" w:color="auto" w:fill="EEECE1"/>
            <w:noWrap/>
            <w:vAlign w:val="center"/>
          </w:tcPr>
          <w:p>
            <w:pPr>
              <w:widowControl/>
              <w:jc w:val="center"/>
              <w:rPr>
                <w:rFonts w:hAnsi="微软雅黑"/>
                <w:color w:val="000000"/>
                <w:kern w:val="0"/>
                <w:sz w:val="24"/>
                <w:szCs w:val="24"/>
              </w:rPr>
            </w:pPr>
            <w:r>
              <w:rPr>
                <w:rFonts w:hint="eastAsia"/>
                <w:sz w:val="24"/>
                <w:szCs w:val="24"/>
              </w:rPr>
              <w:t>保障项目</w:t>
            </w:r>
          </w:p>
        </w:tc>
        <w:tc>
          <w:tcPr>
            <w:tcW w:w="2552" w:type="dxa"/>
            <w:tcBorders>
              <w:top w:val="single" w:color="auto" w:sz="4" w:space="0"/>
              <w:left w:val="nil"/>
              <w:bottom w:val="single" w:color="auto" w:sz="4" w:space="0"/>
              <w:right w:val="single" w:color="auto" w:sz="4" w:space="0"/>
            </w:tcBorders>
            <w:shd w:val="clear" w:color="auto" w:fill="EEECE1"/>
            <w:vAlign w:val="center"/>
          </w:tcPr>
          <w:p>
            <w:pPr>
              <w:widowControl/>
              <w:jc w:val="center"/>
              <w:rPr>
                <w:rFonts w:hAnsi="微软雅黑"/>
                <w:color w:val="000000"/>
                <w:kern w:val="0"/>
                <w:sz w:val="24"/>
                <w:szCs w:val="24"/>
              </w:rPr>
            </w:pPr>
            <w:r>
              <w:rPr>
                <w:sz w:val="24"/>
                <w:szCs w:val="24"/>
              </w:rPr>
              <w:t>保险金额</w:t>
            </w:r>
          </w:p>
        </w:tc>
        <w:tc>
          <w:tcPr>
            <w:tcW w:w="2977" w:type="dxa"/>
            <w:tcBorders>
              <w:top w:val="single" w:color="auto" w:sz="4" w:space="0"/>
              <w:left w:val="nil"/>
              <w:bottom w:val="single" w:color="auto" w:sz="4" w:space="0"/>
              <w:right w:val="single" w:color="auto" w:sz="4" w:space="0"/>
            </w:tcBorders>
            <w:shd w:val="clear" w:color="auto" w:fill="EEECE1"/>
            <w:vAlign w:val="center"/>
          </w:tcPr>
          <w:p>
            <w:pPr>
              <w:widowControl/>
              <w:jc w:val="center"/>
              <w:rPr>
                <w:rFonts w:hAnsi="微软雅黑"/>
                <w:color w:val="000000"/>
                <w:kern w:val="0"/>
                <w:sz w:val="24"/>
                <w:szCs w:val="24"/>
              </w:rPr>
            </w:pPr>
            <w:r>
              <w:rPr>
                <w:rFonts w:hint="eastAsia" w:hAnsi="微软雅黑"/>
                <w:color w:val="000000"/>
                <w:kern w:val="0"/>
                <w:sz w:val="24"/>
                <w:szCs w:val="24"/>
              </w:rPr>
              <w:t>备注</w:t>
            </w:r>
          </w:p>
        </w:tc>
      </w:tr>
      <w:tr>
        <w:tblPrEx>
          <w:tblCellMar>
            <w:top w:w="0" w:type="dxa"/>
            <w:left w:w="108" w:type="dxa"/>
            <w:bottom w:w="0" w:type="dxa"/>
            <w:right w:w="108" w:type="dxa"/>
          </w:tblCellMar>
        </w:tblPrEx>
        <w:trPr>
          <w:trHeight w:val="756" w:hRule="atLeast"/>
        </w:trPr>
        <w:tc>
          <w:tcPr>
            <w:tcW w:w="2014" w:type="dxa"/>
            <w:vMerge w:val="restart"/>
            <w:tcBorders>
              <w:top w:val="single" w:color="auto" w:sz="4" w:space="0"/>
              <w:left w:val="single" w:color="auto" w:sz="8" w:space="0"/>
              <w:right w:val="single" w:color="auto" w:sz="4" w:space="0"/>
            </w:tcBorders>
            <w:vAlign w:val="center"/>
          </w:tcPr>
          <w:p>
            <w:pPr>
              <w:widowControl/>
              <w:jc w:val="center"/>
              <w:rPr>
                <w:rFonts w:hAnsi="微软雅黑"/>
                <w:color w:val="000000"/>
                <w:kern w:val="0"/>
                <w:sz w:val="24"/>
                <w:szCs w:val="24"/>
              </w:rPr>
            </w:pPr>
            <w:r>
              <w:rPr>
                <w:rFonts w:hint="eastAsia" w:hAnsi="微软雅黑"/>
                <w:color w:val="000000"/>
                <w:kern w:val="0"/>
                <w:sz w:val="24"/>
                <w:szCs w:val="24"/>
              </w:rPr>
              <w:t>团体人身意外伤害险</w:t>
            </w:r>
          </w:p>
        </w:tc>
        <w:tc>
          <w:tcPr>
            <w:tcW w:w="1275" w:type="dxa"/>
            <w:tcBorders>
              <w:top w:val="single" w:color="auto" w:sz="4" w:space="0"/>
              <w:left w:val="nil"/>
              <w:bottom w:val="single" w:color="auto" w:sz="4" w:space="0"/>
              <w:right w:val="nil"/>
            </w:tcBorders>
            <w:vAlign w:val="center"/>
          </w:tcPr>
          <w:p>
            <w:pPr>
              <w:widowControl/>
              <w:jc w:val="left"/>
              <w:rPr>
                <w:rFonts w:hAnsi="微软雅黑"/>
                <w:color w:val="000000"/>
                <w:kern w:val="0"/>
                <w:sz w:val="24"/>
                <w:szCs w:val="24"/>
              </w:rPr>
            </w:pPr>
            <w:r>
              <w:rPr>
                <w:rFonts w:hint="eastAsia" w:hAnsi="微软雅黑"/>
                <w:color w:val="000000"/>
                <w:kern w:val="0"/>
                <w:sz w:val="24"/>
                <w:szCs w:val="24"/>
              </w:rPr>
              <w:t>身故</w:t>
            </w:r>
          </w:p>
        </w:tc>
        <w:tc>
          <w:tcPr>
            <w:tcW w:w="2552" w:type="dxa"/>
            <w:tcBorders>
              <w:top w:val="single" w:color="auto" w:sz="4" w:space="0"/>
              <w:left w:val="single" w:color="auto" w:sz="8" w:space="0"/>
              <w:bottom w:val="single" w:color="auto" w:sz="4" w:space="0"/>
              <w:right w:val="single" w:color="auto" w:sz="8" w:space="0"/>
            </w:tcBorders>
            <w:vAlign w:val="center"/>
          </w:tcPr>
          <w:p>
            <w:pPr>
              <w:widowControl/>
              <w:jc w:val="center"/>
              <w:rPr>
                <w:rFonts w:hAnsi="微软雅黑"/>
                <w:color w:val="000000"/>
                <w:kern w:val="0"/>
                <w:sz w:val="24"/>
                <w:szCs w:val="24"/>
              </w:rPr>
            </w:pPr>
            <w:r>
              <w:rPr>
                <w:rFonts w:hint="eastAsia" w:hAnsi="微软雅黑"/>
                <w:color w:val="000000"/>
                <w:kern w:val="0"/>
                <w:sz w:val="24"/>
                <w:szCs w:val="24"/>
              </w:rPr>
              <w:t xml:space="preserve">20 万元/人/年 </w:t>
            </w:r>
          </w:p>
        </w:tc>
        <w:tc>
          <w:tcPr>
            <w:tcW w:w="2977" w:type="dxa"/>
            <w:tcBorders>
              <w:top w:val="single" w:color="auto" w:sz="4" w:space="0"/>
              <w:left w:val="single" w:color="auto" w:sz="8" w:space="0"/>
              <w:bottom w:val="single" w:color="auto" w:sz="4" w:space="0"/>
              <w:right w:val="single" w:color="auto" w:sz="8" w:space="0"/>
            </w:tcBorders>
          </w:tcPr>
          <w:p>
            <w:pPr>
              <w:widowControl/>
              <w:jc w:val="left"/>
              <w:rPr>
                <w:rFonts w:hAnsi="微软雅黑"/>
                <w:color w:val="000000"/>
                <w:kern w:val="0"/>
                <w:sz w:val="28"/>
                <w:szCs w:val="28"/>
              </w:rPr>
            </w:pPr>
            <w:r>
              <w:rPr>
                <w:rFonts w:hint="eastAsia" w:hAnsi="微软雅黑"/>
                <w:color w:val="000000"/>
                <w:kern w:val="0"/>
                <w:sz w:val="18"/>
                <w:szCs w:val="18"/>
              </w:rPr>
              <w:t>对因遭受外来的、突发的、非本意的、非疾病的客观事件直接致使身体受到的伤害导致身故、工作时间员工</w:t>
            </w:r>
            <w:r>
              <w:rPr>
                <w:rFonts w:hAnsi="微软雅黑"/>
                <w:color w:val="000000"/>
                <w:kern w:val="0"/>
                <w:sz w:val="18"/>
                <w:szCs w:val="18"/>
              </w:rPr>
              <w:t>48小时内猝死</w:t>
            </w:r>
            <w:r>
              <w:rPr>
                <w:rFonts w:hint="eastAsia" w:hAnsi="微软雅黑"/>
                <w:color w:val="000000"/>
                <w:kern w:val="0"/>
                <w:sz w:val="18"/>
                <w:szCs w:val="18"/>
              </w:rPr>
              <w:t>、女性员工因怀孕（含宫外孕）、流产（含人工流产）、分娩（含剖腹产）导致的死亡而给付的保险金</w:t>
            </w:r>
          </w:p>
        </w:tc>
      </w:tr>
      <w:tr>
        <w:tblPrEx>
          <w:tblCellMar>
            <w:top w:w="0" w:type="dxa"/>
            <w:left w:w="108" w:type="dxa"/>
            <w:bottom w:w="0" w:type="dxa"/>
            <w:right w:w="108" w:type="dxa"/>
          </w:tblCellMar>
        </w:tblPrEx>
        <w:trPr>
          <w:trHeight w:val="756" w:hRule="atLeast"/>
        </w:trPr>
        <w:tc>
          <w:tcPr>
            <w:tcW w:w="2014" w:type="dxa"/>
            <w:vMerge w:val="continue"/>
            <w:tcBorders>
              <w:left w:val="single" w:color="auto" w:sz="8" w:space="0"/>
              <w:bottom w:val="nil"/>
              <w:right w:val="single" w:color="auto" w:sz="4" w:space="0"/>
            </w:tcBorders>
            <w:vAlign w:val="center"/>
          </w:tcPr>
          <w:p>
            <w:pPr>
              <w:widowControl/>
              <w:jc w:val="left"/>
              <w:rPr>
                <w:rFonts w:hAnsi="微软雅黑"/>
                <w:color w:val="000000"/>
                <w:kern w:val="0"/>
                <w:sz w:val="24"/>
                <w:szCs w:val="24"/>
              </w:rPr>
            </w:pPr>
          </w:p>
        </w:tc>
        <w:tc>
          <w:tcPr>
            <w:tcW w:w="1275" w:type="dxa"/>
            <w:tcBorders>
              <w:top w:val="nil"/>
              <w:left w:val="nil"/>
              <w:bottom w:val="single" w:color="auto" w:sz="4" w:space="0"/>
              <w:right w:val="nil"/>
            </w:tcBorders>
            <w:vAlign w:val="center"/>
          </w:tcPr>
          <w:p>
            <w:pPr>
              <w:widowControl/>
              <w:jc w:val="left"/>
              <w:rPr>
                <w:rFonts w:hAnsi="微软雅黑"/>
                <w:color w:val="000000"/>
                <w:kern w:val="0"/>
                <w:sz w:val="24"/>
                <w:szCs w:val="24"/>
              </w:rPr>
            </w:pPr>
            <w:r>
              <w:rPr>
                <w:rFonts w:hint="eastAsia" w:hAnsi="微软雅黑"/>
                <w:color w:val="000000"/>
                <w:kern w:val="0"/>
                <w:sz w:val="24"/>
                <w:szCs w:val="24"/>
              </w:rPr>
              <w:t>残疾</w:t>
            </w:r>
          </w:p>
        </w:tc>
        <w:tc>
          <w:tcPr>
            <w:tcW w:w="2552" w:type="dxa"/>
            <w:tcBorders>
              <w:top w:val="nil"/>
              <w:left w:val="single" w:color="auto" w:sz="8" w:space="0"/>
              <w:bottom w:val="single" w:color="auto" w:sz="4" w:space="0"/>
              <w:right w:val="single" w:color="auto" w:sz="8" w:space="0"/>
            </w:tcBorders>
            <w:vAlign w:val="center"/>
          </w:tcPr>
          <w:p>
            <w:pPr>
              <w:widowControl/>
              <w:jc w:val="center"/>
              <w:rPr>
                <w:rFonts w:hAnsi="微软雅黑"/>
                <w:color w:val="000000"/>
                <w:kern w:val="0"/>
                <w:sz w:val="24"/>
                <w:szCs w:val="24"/>
              </w:rPr>
            </w:pPr>
            <w:r>
              <w:rPr>
                <w:rFonts w:hint="eastAsia" w:hAnsi="微软雅黑"/>
                <w:color w:val="000000"/>
                <w:kern w:val="0"/>
                <w:sz w:val="24"/>
                <w:szCs w:val="24"/>
              </w:rPr>
              <w:t xml:space="preserve">20 万元/人/年 </w:t>
            </w:r>
          </w:p>
        </w:tc>
        <w:tc>
          <w:tcPr>
            <w:tcW w:w="2977" w:type="dxa"/>
            <w:tcBorders>
              <w:top w:val="nil"/>
              <w:left w:val="single" w:color="auto" w:sz="8" w:space="0"/>
              <w:bottom w:val="single" w:color="auto" w:sz="4" w:space="0"/>
              <w:right w:val="single" w:color="auto" w:sz="8" w:space="0"/>
            </w:tcBorders>
            <w:vAlign w:val="center"/>
          </w:tcPr>
          <w:p>
            <w:pPr>
              <w:widowControl/>
              <w:jc w:val="center"/>
              <w:rPr>
                <w:rFonts w:hAnsi="微软雅黑"/>
                <w:color w:val="000000"/>
                <w:kern w:val="0"/>
                <w:sz w:val="18"/>
                <w:szCs w:val="18"/>
              </w:rPr>
            </w:pPr>
            <w:r>
              <w:rPr>
                <w:rFonts w:hAnsi="微软雅黑"/>
                <w:color w:val="000000"/>
                <w:kern w:val="0"/>
                <w:sz w:val="18"/>
                <w:szCs w:val="18"/>
              </w:rPr>
              <w:t>1-10级工伤按照100%-10%</w:t>
            </w:r>
            <w:r>
              <w:rPr>
                <w:rFonts w:hint="eastAsia" w:hAnsi="微软雅黑"/>
                <w:color w:val="000000"/>
                <w:kern w:val="0"/>
                <w:sz w:val="18"/>
                <w:szCs w:val="18"/>
              </w:rPr>
              <w:t>进行对应</w:t>
            </w:r>
            <w:bookmarkStart w:id="0" w:name="_GoBack"/>
            <w:bookmarkEnd w:id="0"/>
            <w:r>
              <w:rPr>
                <w:rFonts w:hint="eastAsia" w:hAnsi="微软雅黑"/>
                <w:color w:val="000000"/>
                <w:kern w:val="0"/>
                <w:sz w:val="18"/>
                <w:szCs w:val="18"/>
              </w:rPr>
              <w:t>级别</w:t>
            </w:r>
            <w:r>
              <w:rPr>
                <w:rFonts w:hAnsi="微软雅黑"/>
                <w:color w:val="000000"/>
                <w:kern w:val="0"/>
                <w:sz w:val="18"/>
                <w:szCs w:val="18"/>
              </w:rPr>
              <w:t>赔付</w:t>
            </w:r>
          </w:p>
        </w:tc>
      </w:tr>
      <w:tr>
        <w:tblPrEx>
          <w:tblCellMar>
            <w:top w:w="0" w:type="dxa"/>
            <w:left w:w="108" w:type="dxa"/>
            <w:bottom w:w="0" w:type="dxa"/>
            <w:right w:w="108" w:type="dxa"/>
          </w:tblCellMar>
        </w:tblPrEx>
        <w:trPr>
          <w:trHeight w:val="948" w:hRule="atLeast"/>
        </w:trPr>
        <w:tc>
          <w:tcPr>
            <w:tcW w:w="3289" w:type="dxa"/>
            <w:gridSpan w:val="2"/>
            <w:tcBorders>
              <w:top w:val="single" w:color="auto" w:sz="4" w:space="0"/>
              <w:left w:val="single" w:color="auto" w:sz="8" w:space="0"/>
              <w:bottom w:val="single" w:color="auto" w:sz="4" w:space="0"/>
              <w:right w:val="nil"/>
            </w:tcBorders>
            <w:vAlign w:val="center"/>
          </w:tcPr>
          <w:p>
            <w:pPr>
              <w:widowControl/>
              <w:jc w:val="center"/>
              <w:rPr>
                <w:rFonts w:hAnsi="微软雅黑"/>
                <w:color w:val="000000"/>
                <w:kern w:val="0"/>
                <w:sz w:val="24"/>
                <w:szCs w:val="24"/>
              </w:rPr>
            </w:pPr>
            <w:r>
              <w:rPr>
                <w:rFonts w:hint="eastAsia" w:hAnsi="微软雅黑"/>
                <w:color w:val="000000"/>
                <w:kern w:val="0"/>
                <w:sz w:val="24"/>
                <w:szCs w:val="24"/>
              </w:rPr>
              <w:t>疾病身故(定期寿险）</w:t>
            </w:r>
          </w:p>
        </w:tc>
        <w:tc>
          <w:tcPr>
            <w:tcW w:w="2552" w:type="dxa"/>
            <w:tcBorders>
              <w:top w:val="nil"/>
              <w:left w:val="single" w:color="auto" w:sz="8" w:space="0"/>
              <w:bottom w:val="single" w:color="auto" w:sz="4" w:space="0"/>
              <w:right w:val="single" w:color="auto" w:sz="8" w:space="0"/>
            </w:tcBorders>
            <w:vAlign w:val="center"/>
          </w:tcPr>
          <w:p>
            <w:pPr>
              <w:widowControl/>
              <w:jc w:val="center"/>
              <w:rPr>
                <w:rFonts w:hAnsi="微软雅黑"/>
                <w:color w:val="000000"/>
                <w:kern w:val="0"/>
                <w:sz w:val="24"/>
                <w:szCs w:val="24"/>
              </w:rPr>
            </w:pPr>
            <w:r>
              <w:rPr>
                <w:rFonts w:hint="eastAsia" w:hAnsi="微软雅黑"/>
                <w:color w:val="000000"/>
                <w:kern w:val="0"/>
                <w:sz w:val="24"/>
                <w:szCs w:val="24"/>
              </w:rPr>
              <w:t xml:space="preserve">20 万元/人/年 </w:t>
            </w:r>
          </w:p>
        </w:tc>
        <w:tc>
          <w:tcPr>
            <w:tcW w:w="2977" w:type="dxa"/>
            <w:tcBorders>
              <w:top w:val="nil"/>
              <w:left w:val="single" w:color="auto" w:sz="8" w:space="0"/>
              <w:bottom w:val="single" w:color="auto" w:sz="4" w:space="0"/>
              <w:right w:val="single" w:color="auto" w:sz="8" w:space="0"/>
            </w:tcBorders>
            <w:vAlign w:val="center"/>
          </w:tcPr>
          <w:p>
            <w:pPr>
              <w:widowControl/>
              <w:jc w:val="left"/>
              <w:rPr>
                <w:rFonts w:hAnsi="微软雅黑"/>
                <w:color w:val="000000"/>
                <w:kern w:val="0"/>
                <w:sz w:val="18"/>
                <w:szCs w:val="18"/>
              </w:rPr>
            </w:pPr>
            <w:r>
              <w:rPr>
                <w:rFonts w:hint="eastAsia" w:hAnsi="微软雅黑"/>
                <w:color w:val="000000"/>
                <w:kern w:val="0"/>
                <w:sz w:val="18"/>
                <w:szCs w:val="18"/>
              </w:rPr>
              <w:t>因疾病身故而给付的保险金，既往史不究</w:t>
            </w:r>
          </w:p>
        </w:tc>
      </w:tr>
      <w:tr>
        <w:tblPrEx>
          <w:tblCellMar>
            <w:top w:w="0" w:type="dxa"/>
            <w:left w:w="108" w:type="dxa"/>
            <w:bottom w:w="0" w:type="dxa"/>
            <w:right w:w="108" w:type="dxa"/>
          </w:tblCellMar>
        </w:tblPrEx>
        <w:trPr>
          <w:trHeight w:val="774" w:hRule="atLeast"/>
        </w:trPr>
        <w:tc>
          <w:tcPr>
            <w:tcW w:w="3289" w:type="dxa"/>
            <w:gridSpan w:val="2"/>
            <w:tcBorders>
              <w:top w:val="single" w:color="auto" w:sz="4" w:space="0"/>
              <w:left w:val="single" w:color="auto" w:sz="8" w:space="0"/>
              <w:bottom w:val="single" w:color="auto" w:sz="4" w:space="0"/>
              <w:right w:val="nil"/>
            </w:tcBorders>
            <w:vAlign w:val="center"/>
          </w:tcPr>
          <w:p>
            <w:pPr>
              <w:widowControl/>
              <w:jc w:val="center"/>
              <w:rPr>
                <w:rFonts w:hAnsi="微软雅黑"/>
                <w:color w:val="000000"/>
                <w:kern w:val="0"/>
                <w:sz w:val="24"/>
                <w:szCs w:val="24"/>
              </w:rPr>
            </w:pPr>
            <w:r>
              <w:rPr>
                <w:rFonts w:hint="eastAsia" w:hAnsi="微软雅黑"/>
                <w:color w:val="000000"/>
                <w:kern w:val="0"/>
                <w:sz w:val="24"/>
                <w:szCs w:val="24"/>
              </w:rPr>
              <w:t xml:space="preserve">重疾险（重大疾病保障） </w:t>
            </w:r>
          </w:p>
        </w:tc>
        <w:tc>
          <w:tcPr>
            <w:tcW w:w="2552" w:type="dxa"/>
            <w:tcBorders>
              <w:top w:val="nil"/>
              <w:left w:val="single" w:color="auto" w:sz="8" w:space="0"/>
              <w:bottom w:val="single" w:color="auto" w:sz="4" w:space="0"/>
              <w:right w:val="single" w:color="auto" w:sz="8" w:space="0"/>
            </w:tcBorders>
            <w:vAlign w:val="center"/>
          </w:tcPr>
          <w:p>
            <w:pPr>
              <w:widowControl/>
              <w:jc w:val="center"/>
              <w:rPr>
                <w:rFonts w:hAnsi="微软雅黑"/>
                <w:color w:val="000000"/>
                <w:kern w:val="0"/>
                <w:sz w:val="24"/>
                <w:szCs w:val="24"/>
              </w:rPr>
            </w:pPr>
            <w:r>
              <w:rPr>
                <w:rFonts w:hint="eastAsia" w:hAnsi="微软雅黑"/>
                <w:color w:val="000000"/>
                <w:kern w:val="0"/>
                <w:sz w:val="24"/>
                <w:szCs w:val="24"/>
              </w:rPr>
              <w:t xml:space="preserve">10 万元/人/年 </w:t>
            </w:r>
          </w:p>
        </w:tc>
        <w:tc>
          <w:tcPr>
            <w:tcW w:w="2977" w:type="dxa"/>
            <w:tcBorders>
              <w:top w:val="nil"/>
              <w:left w:val="single" w:color="auto" w:sz="8" w:space="0"/>
              <w:bottom w:val="single" w:color="auto" w:sz="4" w:space="0"/>
              <w:right w:val="single" w:color="auto" w:sz="8" w:space="0"/>
            </w:tcBorders>
            <w:vAlign w:val="bottom"/>
          </w:tcPr>
          <w:p>
            <w:pPr>
              <w:jc w:val="left"/>
              <w:rPr>
                <w:rFonts w:hAnsi="微软雅黑"/>
                <w:color w:val="000000"/>
                <w:kern w:val="0"/>
                <w:sz w:val="18"/>
                <w:szCs w:val="18"/>
                <w:u w:val="single"/>
              </w:rPr>
            </w:pPr>
            <w:r>
              <w:rPr>
                <w:rFonts w:hint="eastAsia" w:hAnsi="微软雅黑"/>
                <w:color w:val="000000"/>
                <w:kern w:val="0"/>
                <w:sz w:val="18"/>
                <w:szCs w:val="18"/>
                <w:u w:val="none"/>
              </w:rPr>
              <w:t>包括30种疾病</w:t>
            </w:r>
            <w:r>
              <w:rPr>
                <w:rFonts w:hint="eastAsia" w:hAnsi="微软雅黑"/>
                <w:color w:val="000000"/>
                <w:kern w:val="0"/>
                <w:sz w:val="18"/>
                <w:szCs w:val="18"/>
                <w:u w:val="none"/>
                <w:lang w:eastAsia="zh-CN"/>
              </w:rPr>
              <w:t>，</w:t>
            </w:r>
            <w:r>
              <w:rPr>
                <w:rFonts w:hint="eastAsia" w:hAnsi="微软雅黑"/>
                <w:color w:val="000000"/>
                <w:kern w:val="0"/>
                <w:sz w:val="18"/>
                <w:szCs w:val="18"/>
                <w:u w:val="none"/>
              </w:rPr>
              <w:t>具体要求见附件</w:t>
            </w:r>
            <w:r>
              <w:rPr>
                <w:rFonts w:hint="eastAsia" w:hAnsi="微软雅黑"/>
                <w:color w:val="000000"/>
                <w:kern w:val="0"/>
                <w:sz w:val="18"/>
                <w:szCs w:val="18"/>
                <w:u w:val="none"/>
                <w:lang w:eastAsia="zh-CN"/>
              </w:rPr>
              <w:t>，</w:t>
            </w:r>
            <w:r>
              <w:rPr>
                <w:rFonts w:hint="eastAsia" w:hAnsi="仿宋"/>
                <w:sz w:val="18"/>
                <w:szCs w:val="18"/>
                <w:u w:val="none"/>
              </w:rPr>
              <w:t>既往史不究</w:t>
            </w:r>
          </w:p>
        </w:tc>
      </w:tr>
      <w:tr>
        <w:tblPrEx>
          <w:tblCellMar>
            <w:top w:w="0" w:type="dxa"/>
            <w:left w:w="108" w:type="dxa"/>
            <w:bottom w:w="0" w:type="dxa"/>
            <w:right w:w="108" w:type="dxa"/>
          </w:tblCellMar>
        </w:tblPrEx>
        <w:trPr>
          <w:trHeight w:val="700" w:hRule="atLeast"/>
        </w:trPr>
        <w:tc>
          <w:tcPr>
            <w:tcW w:w="3289" w:type="dxa"/>
            <w:gridSpan w:val="2"/>
            <w:tcBorders>
              <w:top w:val="single" w:color="auto" w:sz="4" w:space="0"/>
              <w:left w:val="single" w:color="auto" w:sz="8" w:space="0"/>
              <w:bottom w:val="single" w:color="auto" w:sz="4" w:space="0"/>
              <w:right w:val="nil"/>
            </w:tcBorders>
            <w:vAlign w:val="center"/>
          </w:tcPr>
          <w:p>
            <w:pPr>
              <w:widowControl/>
              <w:jc w:val="center"/>
              <w:rPr>
                <w:rFonts w:hAnsi="微软雅黑"/>
                <w:color w:val="000000"/>
                <w:kern w:val="0"/>
                <w:sz w:val="24"/>
                <w:szCs w:val="24"/>
              </w:rPr>
            </w:pPr>
            <w:r>
              <w:rPr>
                <w:rFonts w:hint="eastAsia" w:hAnsi="微软雅黑"/>
                <w:color w:val="000000"/>
                <w:kern w:val="0"/>
                <w:sz w:val="24"/>
                <w:szCs w:val="24"/>
              </w:rPr>
              <w:t>意外医疗（意外门诊住院）</w:t>
            </w:r>
          </w:p>
        </w:tc>
        <w:tc>
          <w:tcPr>
            <w:tcW w:w="2552" w:type="dxa"/>
            <w:tcBorders>
              <w:top w:val="nil"/>
              <w:left w:val="single" w:color="auto" w:sz="8" w:space="0"/>
              <w:bottom w:val="single" w:color="auto" w:sz="4" w:space="0"/>
              <w:right w:val="single" w:color="auto" w:sz="8" w:space="0"/>
            </w:tcBorders>
            <w:noWrap/>
            <w:vAlign w:val="center"/>
          </w:tcPr>
          <w:p>
            <w:pPr>
              <w:widowControl/>
              <w:jc w:val="center"/>
              <w:rPr>
                <w:rFonts w:hAnsi="微软雅黑"/>
                <w:color w:val="000000"/>
                <w:kern w:val="0"/>
                <w:sz w:val="24"/>
                <w:szCs w:val="24"/>
              </w:rPr>
            </w:pPr>
            <w:r>
              <w:rPr>
                <w:rFonts w:hint="eastAsia" w:hAnsi="微软雅黑"/>
                <w:color w:val="000000"/>
                <w:kern w:val="0"/>
                <w:sz w:val="24"/>
                <w:szCs w:val="24"/>
              </w:rPr>
              <w:t xml:space="preserve">  1 万/人/年 </w:t>
            </w:r>
          </w:p>
        </w:tc>
        <w:tc>
          <w:tcPr>
            <w:tcW w:w="2977" w:type="dxa"/>
            <w:tcBorders>
              <w:top w:val="nil"/>
              <w:left w:val="single" w:color="auto" w:sz="8" w:space="0"/>
              <w:bottom w:val="single" w:color="auto" w:sz="4" w:space="0"/>
              <w:right w:val="single" w:color="auto" w:sz="8" w:space="0"/>
            </w:tcBorders>
            <w:vAlign w:val="center"/>
          </w:tcPr>
          <w:p>
            <w:pPr>
              <w:widowControl/>
              <w:jc w:val="left"/>
              <w:rPr>
                <w:rFonts w:hAnsi="微软雅黑"/>
                <w:color w:val="000000"/>
                <w:kern w:val="0"/>
                <w:sz w:val="18"/>
                <w:szCs w:val="18"/>
              </w:rPr>
            </w:pPr>
            <w:r>
              <w:rPr>
                <w:rFonts w:hint="eastAsia" w:hAnsi="微软雅黑"/>
                <w:color w:val="000000"/>
                <w:kern w:val="0"/>
                <w:sz w:val="18"/>
                <w:szCs w:val="18"/>
              </w:rPr>
              <w:t>因意外引起的门诊、住院导致的医疗费用</w:t>
            </w:r>
          </w:p>
        </w:tc>
      </w:tr>
      <w:tr>
        <w:tblPrEx>
          <w:tblCellMar>
            <w:top w:w="0" w:type="dxa"/>
            <w:left w:w="108" w:type="dxa"/>
            <w:bottom w:w="0" w:type="dxa"/>
            <w:right w:w="108" w:type="dxa"/>
          </w:tblCellMar>
        </w:tblPrEx>
        <w:trPr>
          <w:trHeight w:val="696" w:hRule="atLeast"/>
        </w:trPr>
        <w:tc>
          <w:tcPr>
            <w:tcW w:w="3289" w:type="dxa"/>
            <w:gridSpan w:val="2"/>
            <w:tcBorders>
              <w:top w:val="single" w:color="auto" w:sz="4" w:space="0"/>
              <w:left w:val="single" w:color="auto" w:sz="8" w:space="0"/>
              <w:bottom w:val="single" w:color="auto" w:sz="4" w:space="0"/>
              <w:right w:val="nil"/>
            </w:tcBorders>
            <w:vAlign w:val="center"/>
          </w:tcPr>
          <w:p>
            <w:pPr>
              <w:widowControl/>
              <w:jc w:val="center"/>
              <w:rPr>
                <w:rFonts w:hAnsi="微软雅黑"/>
                <w:color w:val="000000"/>
                <w:kern w:val="0"/>
                <w:sz w:val="24"/>
                <w:szCs w:val="24"/>
              </w:rPr>
            </w:pPr>
            <w:r>
              <w:rPr>
                <w:rFonts w:hint="eastAsia" w:hAnsi="微软雅黑"/>
                <w:color w:val="000000"/>
                <w:kern w:val="0"/>
                <w:sz w:val="24"/>
                <w:szCs w:val="24"/>
              </w:rPr>
              <w:t>住院保障（疾病、意外）</w:t>
            </w:r>
          </w:p>
        </w:tc>
        <w:tc>
          <w:tcPr>
            <w:tcW w:w="2552" w:type="dxa"/>
            <w:tcBorders>
              <w:top w:val="nil"/>
              <w:left w:val="single" w:color="auto" w:sz="8" w:space="0"/>
              <w:bottom w:val="single" w:color="auto" w:sz="4" w:space="0"/>
              <w:right w:val="single" w:color="auto" w:sz="8" w:space="0"/>
            </w:tcBorders>
            <w:noWrap/>
            <w:vAlign w:val="center"/>
          </w:tcPr>
          <w:p>
            <w:pPr>
              <w:widowControl/>
              <w:jc w:val="center"/>
              <w:rPr>
                <w:rFonts w:hAnsi="微软雅黑"/>
                <w:color w:val="000000"/>
                <w:kern w:val="0"/>
                <w:sz w:val="24"/>
                <w:szCs w:val="24"/>
              </w:rPr>
            </w:pPr>
            <w:r>
              <w:rPr>
                <w:rFonts w:hint="eastAsia" w:hAnsi="微软雅黑"/>
                <w:color w:val="000000"/>
                <w:kern w:val="0"/>
                <w:sz w:val="24"/>
                <w:szCs w:val="24"/>
              </w:rPr>
              <w:t xml:space="preserve">  5万元/人/年 </w:t>
            </w:r>
          </w:p>
        </w:tc>
        <w:tc>
          <w:tcPr>
            <w:tcW w:w="2977" w:type="dxa"/>
            <w:tcBorders>
              <w:top w:val="nil"/>
              <w:left w:val="single" w:color="auto" w:sz="8" w:space="0"/>
              <w:bottom w:val="single" w:color="auto" w:sz="4" w:space="0"/>
              <w:right w:val="single" w:color="auto" w:sz="8" w:space="0"/>
            </w:tcBorders>
          </w:tcPr>
          <w:p>
            <w:pPr>
              <w:widowControl/>
              <w:jc w:val="left"/>
              <w:rPr>
                <w:rFonts w:hAnsi="微软雅黑"/>
                <w:color w:val="000000"/>
                <w:kern w:val="0"/>
                <w:sz w:val="18"/>
                <w:szCs w:val="18"/>
              </w:rPr>
            </w:pPr>
            <w:r>
              <w:rPr>
                <w:rFonts w:hAnsi="微软雅黑"/>
                <w:color w:val="000000"/>
                <w:kern w:val="0"/>
                <w:sz w:val="18"/>
                <w:szCs w:val="18"/>
              </w:rPr>
              <w:t>使用医保卡统筹支付后，由个人帐户、现金支付的医疗费用（含自费费用）</w:t>
            </w:r>
            <w:r>
              <w:rPr>
                <w:rFonts w:hint="eastAsia" w:hAnsi="微软雅黑"/>
                <w:color w:val="000000"/>
                <w:kern w:val="0"/>
                <w:sz w:val="18"/>
                <w:szCs w:val="18"/>
              </w:rPr>
              <w:t>在限额内</w:t>
            </w:r>
            <w:r>
              <w:rPr>
                <w:rFonts w:hAnsi="微软雅黑"/>
                <w:color w:val="000000"/>
                <w:kern w:val="0"/>
                <w:sz w:val="18"/>
                <w:szCs w:val="18"/>
              </w:rPr>
              <w:t>按100%给付</w:t>
            </w:r>
            <w:r>
              <w:rPr>
                <w:rFonts w:hint="eastAsia" w:hAnsi="微软雅黑"/>
                <w:color w:val="000000"/>
                <w:kern w:val="0"/>
                <w:sz w:val="18"/>
                <w:szCs w:val="18"/>
              </w:rPr>
              <w:t>，无免赔额，既往史不究</w:t>
            </w:r>
          </w:p>
        </w:tc>
      </w:tr>
      <w:tr>
        <w:tblPrEx>
          <w:tblCellMar>
            <w:top w:w="0" w:type="dxa"/>
            <w:left w:w="108" w:type="dxa"/>
            <w:bottom w:w="0" w:type="dxa"/>
            <w:right w:w="108" w:type="dxa"/>
          </w:tblCellMar>
        </w:tblPrEx>
        <w:trPr>
          <w:trHeight w:val="848" w:hRule="atLeast"/>
        </w:trPr>
        <w:tc>
          <w:tcPr>
            <w:tcW w:w="3289" w:type="dxa"/>
            <w:gridSpan w:val="2"/>
            <w:tcBorders>
              <w:top w:val="single" w:color="auto" w:sz="4" w:space="0"/>
              <w:left w:val="single" w:color="auto" w:sz="8" w:space="0"/>
              <w:bottom w:val="single" w:color="auto" w:sz="4" w:space="0"/>
              <w:right w:val="nil"/>
            </w:tcBorders>
            <w:noWrap/>
            <w:vAlign w:val="center"/>
          </w:tcPr>
          <w:p>
            <w:pPr>
              <w:widowControl/>
              <w:jc w:val="center"/>
              <w:rPr>
                <w:rFonts w:hAnsi="微软雅黑"/>
                <w:color w:val="000000"/>
                <w:kern w:val="0"/>
                <w:sz w:val="24"/>
                <w:szCs w:val="24"/>
              </w:rPr>
            </w:pPr>
            <w:r>
              <w:rPr>
                <w:rFonts w:hint="eastAsia" w:hAnsi="微软雅黑"/>
                <w:color w:val="000000"/>
                <w:kern w:val="0"/>
                <w:sz w:val="24"/>
                <w:szCs w:val="24"/>
              </w:rPr>
              <w:t xml:space="preserve">女性生育住院保障 </w:t>
            </w:r>
          </w:p>
        </w:tc>
        <w:tc>
          <w:tcPr>
            <w:tcW w:w="2552" w:type="dxa"/>
            <w:tcBorders>
              <w:top w:val="nil"/>
              <w:left w:val="single" w:color="auto" w:sz="8" w:space="0"/>
              <w:bottom w:val="single" w:color="auto" w:sz="4" w:space="0"/>
              <w:right w:val="single" w:color="auto" w:sz="8" w:space="0"/>
            </w:tcBorders>
            <w:noWrap/>
            <w:vAlign w:val="center"/>
          </w:tcPr>
          <w:p>
            <w:pPr>
              <w:widowControl/>
              <w:jc w:val="center"/>
              <w:rPr>
                <w:rFonts w:hAnsi="微软雅黑"/>
                <w:color w:val="000000"/>
                <w:kern w:val="0"/>
                <w:sz w:val="24"/>
                <w:szCs w:val="24"/>
              </w:rPr>
            </w:pPr>
            <w:r>
              <w:rPr>
                <w:rFonts w:hint="eastAsia" w:hAnsi="微软雅黑"/>
                <w:color w:val="000000"/>
                <w:kern w:val="0"/>
                <w:sz w:val="24"/>
                <w:szCs w:val="24"/>
              </w:rPr>
              <w:t>1 万元 /年/人</w:t>
            </w:r>
          </w:p>
        </w:tc>
        <w:tc>
          <w:tcPr>
            <w:tcW w:w="2977" w:type="dxa"/>
            <w:tcBorders>
              <w:top w:val="nil"/>
              <w:left w:val="single" w:color="auto" w:sz="8" w:space="0"/>
              <w:bottom w:val="single" w:color="auto" w:sz="4" w:space="0"/>
              <w:right w:val="single" w:color="auto" w:sz="8" w:space="0"/>
            </w:tcBorders>
          </w:tcPr>
          <w:p>
            <w:pPr>
              <w:widowControl/>
              <w:jc w:val="center"/>
              <w:rPr>
                <w:rFonts w:hAnsi="微软雅黑"/>
                <w:color w:val="000000"/>
                <w:kern w:val="0"/>
                <w:sz w:val="28"/>
                <w:szCs w:val="28"/>
              </w:rPr>
            </w:pPr>
          </w:p>
        </w:tc>
      </w:tr>
      <w:tr>
        <w:tblPrEx>
          <w:tblCellMar>
            <w:top w:w="0" w:type="dxa"/>
            <w:left w:w="108" w:type="dxa"/>
            <w:bottom w:w="0" w:type="dxa"/>
            <w:right w:w="108" w:type="dxa"/>
          </w:tblCellMar>
        </w:tblPrEx>
        <w:trPr>
          <w:trHeight w:val="704" w:hRule="atLeast"/>
        </w:trPr>
        <w:tc>
          <w:tcPr>
            <w:tcW w:w="3289" w:type="dxa"/>
            <w:gridSpan w:val="2"/>
            <w:tcBorders>
              <w:top w:val="single" w:color="auto" w:sz="4" w:space="0"/>
              <w:left w:val="single" w:color="auto" w:sz="8" w:space="0"/>
              <w:bottom w:val="single" w:color="auto" w:sz="8" w:space="0"/>
              <w:right w:val="nil"/>
            </w:tcBorders>
            <w:noWrap/>
            <w:vAlign w:val="center"/>
          </w:tcPr>
          <w:p>
            <w:pPr>
              <w:widowControl/>
              <w:jc w:val="center"/>
              <w:rPr>
                <w:rFonts w:hAnsi="微软雅黑"/>
                <w:color w:val="000000"/>
                <w:kern w:val="0"/>
                <w:sz w:val="24"/>
                <w:szCs w:val="24"/>
              </w:rPr>
            </w:pPr>
            <w:r>
              <w:rPr>
                <w:rFonts w:hint="eastAsia" w:hAnsi="微软雅黑"/>
                <w:color w:val="000000"/>
                <w:kern w:val="0"/>
                <w:sz w:val="24"/>
                <w:szCs w:val="24"/>
              </w:rPr>
              <w:t xml:space="preserve">住院津贴保障 </w:t>
            </w:r>
          </w:p>
        </w:tc>
        <w:tc>
          <w:tcPr>
            <w:tcW w:w="5529" w:type="dxa"/>
            <w:gridSpan w:val="2"/>
            <w:tcBorders>
              <w:top w:val="nil"/>
              <w:left w:val="single" w:color="auto" w:sz="8" w:space="0"/>
              <w:bottom w:val="single" w:color="auto" w:sz="8" w:space="0"/>
              <w:right w:val="single" w:color="auto" w:sz="8" w:space="0"/>
            </w:tcBorders>
            <w:vAlign w:val="center"/>
          </w:tcPr>
          <w:p>
            <w:pPr>
              <w:widowControl/>
              <w:jc w:val="center"/>
              <w:rPr>
                <w:rFonts w:hAnsi="微软雅黑"/>
                <w:color w:val="000000"/>
                <w:kern w:val="0"/>
                <w:sz w:val="28"/>
                <w:szCs w:val="28"/>
              </w:rPr>
            </w:pPr>
            <w:r>
              <w:rPr>
                <w:rFonts w:hint="eastAsia" w:hAnsi="微软雅黑"/>
                <w:color w:val="000000"/>
                <w:kern w:val="0"/>
                <w:sz w:val="24"/>
                <w:szCs w:val="24"/>
              </w:rPr>
              <w:t>每天最少100元住院津贴，补贴不低于180天</w:t>
            </w:r>
          </w:p>
        </w:tc>
      </w:tr>
    </w:tbl>
    <w:p>
      <w:pPr>
        <w:spacing w:line="600" w:lineRule="exact"/>
        <w:ind w:firstLine="640" w:firstLineChars="200"/>
        <w:rPr>
          <w:rFonts w:hAnsi="方正小标宋简体"/>
        </w:rPr>
      </w:pPr>
      <w:r>
        <w:rPr>
          <w:rFonts w:hint="eastAsia" w:hAnsi="方正小标宋简体"/>
        </w:rPr>
        <w:t>本次采购选择</w:t>
      </w:r>
      <w:r>
        <w:rPr>
          <w:rFonts w:hAnsi="方正小标宋简体"/>
        </w:rPr>
        <w:t>3家及</w:t>
      </w:r>
      <w:r>
        <w:rPr>
          <w:rFonts w:hint="eastAsia" w:hAnsi="方正小标宋简体"/>
          <w:lang w:val="en-US" w:eastAsia="zh-CN"/>
        </w:rPr>
        <w:t>3家</w:t>
      </w:r>
      <w:r>
        <w:rPr>
          <w:rFonts w:hAnsi="方正小标宋简体"/>
        </w:rPr>
        <w:t>以上供应商</w:t>
      </w:r>
      <w:r>
        <w:rPr>
          <w:rFonts w:hint="eastAsia" w:hAnsi="方正小标宋简体"/>
        </w:rPr>
        <w:t>询比价</w:t>
      </w:r>
      <w:r>
        <w:rPr>
          <w:rFonts w:hAnsi="方正小标宋简体"/>
        </w:rPr>
        <w:t>，符合本次采购需求、质量和服务相等且报价最低者为成交候选供应商。</w:t>
      </w:r>
      <w:r>
        <w:rPr>
          <w:rFonts w:hint="eastAsia" w:hAnsi="方正小标宋简体"/>
        </w:rPr>
        <w:t>同等条件下</w:t>
      </w:r>
      <w:r>
        <w:rPr>
          <w:rFonts w:hAnsi="方正小标宋简体"/>
        </w:rPr>
        <w:t>，则按递交报价资料时间先后确定最终成交候选供应商。</w:t>
      </w:r>
    </w:p>
    <w:p>
      <w:pPr>
        <w:spacing w:line="600" w:lineRule="exact"/>
        <w:ind w:firstLine="640" w:firstLineChars="200"/>
        <w:rPr>
          <w:rFonts w:hAnsi="方正小标宋简体"/>
        </w:rPr>
      </w:pPr>
      <w:r>
        <w:rPr>
          <w:rFonts w:hint="eastAsia" w:hAnsi="方正小标宋简体"/>
        </w:rPr>
        <w:t>供应商根据服务内容进行报价，</w:t>
      </w:r>
      <w:r>
        <w:rPr>
          <w:rFonts w:hAnsi="方正小标宋简体"/>
        </w:rPr>
        <w:t>报价后不得更改。采购结果确认后，我司将第一时间通知所有参与报价的供应商。</w:t>
      </w:r>
    </w:p>
    <w:p>
      <w:pPr>
        <w:spacing w:line="600" w:lineRule="exact"/>
        <w:ind w:firstLine="640" w:firstLineChars="200"/>
        <w:rPr>
          <w:rFonts w:ascii="黑体" w:hAnsi="黑体" w:eastAsia="黑体"/>
        </w:rPr>
      </w:pPr>
      <w:r>
        <w:rPr>
          <w:rFonts w:hint="eastAsia" w:ascii="黑体" w:hAnsi="黑体" w:eastAsia="黑体"/>
        </w:rPr>
        <w:t>一、服务</w:t>
      </w:r>
    </w:p>
    <w:p>
      <w:pPr>
        <w:spacing w:line="600" w:lineRule="exact"/>
        <w:ind w:firstLine="640" w:firstLineChars="200"/>
        <w:rPr>
          <w:rFonts w:ascii="黑体" w:hAnsi="黑体" w:eastAsia="黑体"/>
        </w:rPr>
      </w:pPr>
      <w:r>
        <w:rPr>
          <w:rFonts w:hint="eastAsia" w:ascii="黑体" w:hAnsi="黑体" w:eastAsia="黑体"/>
        </w:rPr>
        <w:t>服务周期及预算</w:t>
      </w:r>
    </w:p>
    <w:p>
      <w:pPr>
        <w:spacing w:line="600" w:lineRule="exact"/>
        <w:ind w:firstLine="640" w:firstLineChars="200"/>
        <w:rPr>
          <w:rFonts w:hAnsi="方正小标宋简体"/>
        </w:rPr>
      </w:pPr>
      <w:r>
        <w:rPr>
          <w:rFonts w:hint="eastAsia" w:hAnsi="方正小标宋简体"/>
        </w:rPr>
        <w:t>1.服务周期：365天。</w:t>
      </w:r>
    </w:p>
    <w:p>
      <w:pPr>
        <w:spacing w:line="600" w:lineRule="exact"/>
        <w:ind w:firstLine="640" w:firstLineChars="200"/>
        <w:rPr>
          <w:rFonts w:hAnsi="方正小标宋简体"/>
        </w:rPr>
      </w:pPr>
      <w:r>
        <w:rPr>
          <w:rFonts w:hint="eastAsia" w:hAnsi="方正小标宋简体"/>
        </w:rPr>
        <w:t>2.总预算：不超过30万。</w:t>
      </w:r>
    </w:p>
    <w:p>
      <w:pPr>
        <w:pStyle w:val="8"/>
        <w:spacing w:before="0" w:beforeAutospacing="0" w:after="0" w:afterAutospacing="0" w:line="440" w:lineRule="exact"/>
        <w:ind w:firstLine="640" w:firstLineChars="200"/>
        <w:jc w:val="both"/>
        <w:rPr>
          <w:rFonts w:ascii="仿宋_GB2312" w:hAnsi="方正小标宋简体"/>
          <w:kern w:val="2"/>
          <w:sz w:val="32"/>
          <w:szCs w:val="32"/>
        </w:rPr>
      </w:pPr>
      <w:r>
        <w:rPr>
          <w:rFonts w:hint="eastAsia" w:ascii="黑体" w:hAnsi="黑体" w:eastAsia="黑体"/>
          <w:kern w:val="2"/>
          <w:sz w:val="32"/>
          <w:szCs w:val="32"/>
        </w:rPr>
        <w:t>二、提交响应文件截止时间、评审时间和地点：</w:t>
      </w:r>
    </w:p>
    <w:p>
      <w:pPr>
        <w:pStyle w:val="8"/>
        <w:spacing w:before="0" w:beforeAutospacing="0" w:after="0" w:afterAutospacing="0" w:line="440" w:lineRule="exact"/>
        <w:ind w:firstLine="640" w:firstLineChars="200"/>
        <w:jc w:val="both"/>
        <w:rPr>
          <w:rFonts w:ascii="仿宋_GB2312" w:hAnsi="方正小标宋简体"/>
          <w:kern w:val="2"/>
          <w:sz w:val="32"/>
          <w:szCs w:val="32"/>
        </w:rPr>
      </w:pPr>
      <w:r>
        <w:rPr>
          <w:rFonts w:hint="eastAsia" w:ascii="仿宋_GB2312" w:hAnsi="方正小标宋简体"/>
          <w:kern w:val="2"/>
          <w:sz w:val="32"/>
          <w:szCs w:val="32"/>
        </w:rPr>
        <w:t>1.响应文件接收截止时间（评审时间）：2024年</w:t>
      </w:r>
      <w:r>
        <w:rPr>
          <w:rFonts w:hint="eastAsia" w:ascii="仿宋_GB2312" w:hAnsi="方正小标宋简体"/>
          <w:kern w:val="2"/>
          <w:sz w:val="32"/>
          <w:szCs w:val="32"/>
          <w:lang w:val="en-US" w:eastAsia="zh-CN"/>
        </w:rPr>
        <w:t>7</w:t>
      </w:r>
      <w:r>
        <w:rPr>
          <w:rFonts w:hint="eastAsia" w:ascii="仿宋_GB2312" w:hAnsi="方正小标宋简体"/>
          <w:kern w:val="2"/>
          <w:sz w:val="32"/>
          <w:szCs w:val="32"/>
        </w:rPr>
        <w:t>月</w:t>
      </w:r>
      <w:r>
        <w:rPr>
          <w:rFonts w:hint="eastAsia" w:ascii="仿宋_GB2312" w:hAnsi="方正小标宋简体"/>
          <w:kern w:val="2"/>
          <w:sz w:val="32"/>
          <w:szCs w:val="32"/>
          <w:lang w:val="en-US" w:eastAsia="zh-CN"/>
        </w:rPr>
        <w:t>4</w:t>
      </w:r>
      <w:r>
        <w:rPr>
          <w:rFonts w:hint="eastAsia" w:ascii="仿宋_GB2312" w:hAnsi="方正小标宋简体"/>
          <w:kern w:val="2"/>
          <w:sz w:val="32"/>
          <w:szCs w:val="32"/>
        </w:rPr>
        <w:t>日9：30（北京时间）</w:t>
      </w:r>
    </w:p>
    <w:p>
      <w:pPr>
        <w:pStyle w:val="8"/>
        <w:spacing w:before="0" w:beforeAutospacing="0" w:after="0" w:afterAutospacing="0" w:line="440" w:lineRule="exact"/>
        <w:ind w:firstLine="640" w:firstLineChars="200"/>
        <w:jc w:val="both"/>
        <w:rPr>
          <w:rFonts w:ascii="仿宋_GB2312" w:hAnsi="方正小标宋简体"/>
          <w:kern w:val="2"/>
          <w:sz w:val="32"/>
          <w:szCs w:val="32"/>
        </w:rPr>
      </w:pPr>
      <w:r>
        <w:rPr>
          <w:rFonts w:hint="eastAsia" w:ascii="仿宋_GB2312" w:hAnsi="方正小标宋简体"/>
          <w:kern w:val="2"/>
          <w:sz w:val="32"/>
          <w:szCs w:val="32"/>
        </w:rPr>
        <w:t>2.送达地点:苏州市常熟市青岛路2号</w:t>
      </w:r>
    </w:p>
    <w:p>
      <w:pPr>
        <w:pStyle w:val="8"/>
        <w:spacing w:before="0" w:beforeAutospacing="0" w:after="0" w:afterAutospacing="0" w:line="440" w:lineRule="exact"/>
        <w:ind w:firstLine="640" w:firstLineChars="200"/>
        <w:jc w:val="both"/>
        <w:rPr>
          <w:rFonts w:ascii="仿宋_GB2312" w:hAnsi="方正小标宋简体"/>
          <w:kern w:val="2"/>
          <w:sz w:val="32"/>
          <w:szCs w:val="32"/>
        </w:rPr>
      </w:pPr>
      <w:r>
        <w:rPr>
          <w:rFonts w:hint="eastAsia" w:ascii="仿宋_GB2312" w:hAnsi="方正小标宋简体"/>
          <w:kern w:val="2"/>
          <w:sz w:val="32"/>
          <w:szCs w:val="32"/>
        </w:rPr>
        <w:t>3.评审地点：苏州市常熟市青岛路2号2楼214会议室</w:t>
      </w:r>
    </w:p>
    <w:p>
      <w:pPr>
        <w:pStyle w:val="8"/>
        <w:spacing w:before="0" w:beforeAutospacing="0" w:after="0" w:afterAutospacing="0" w:line="440" w:lineRule="exact"/>
        <w:ind w:firstLine="640" w:firstLineChars="200"/>
        <w:jc w:val="both"/>
        <w:rPr>
          <w:rFonts w:ascii="黑体" w:hAnsi="黑体" w:eastAsia="黑体"/>
          <w:kern w:val="2"/>
          <w:sz w:val="32"/>
          <w:szCs w:val="32"/>
        </w:rPr>
      </w:pPr>
      <w:r>
        <w:rPr>
          <w:rFonts w:hint="eastAsia" w:ascii="黑体" w:hAnsi="黑体" w:eastAsia="黑体"/>
          <w:kern w:val="2"/>
          <w:sz w:val="32"/>
          <w:szCs w:val="32"/>
        </w:rPr>
        <w:t>三、公告媒体和期限：</w:t>
      </w:r>
    </w:p>
    <w:p>
      <w:pPr>
        <w:pStyle w:val="8"/>
        <w:spacing w:before="0" w:beforeAutospacing="0" w:after="0" w:afterAutospacing="0" w:line="440" w:lineRule="exact"/>
        <w:ind w:firstLine="566" w:firstLineChars="177"/>
        <w:jc w:val="both"/>
        <w:rPr>
          <w:rFonts w:ascii="仿宋_GB2312" w:hAnsi="方正小标宋简体"/>
          <w:kern w:val="2"/>
          <w:sz w:val="32"/>
          <w:szCs w:val="32"/>
        </w:rPr>
      </w:pPr>
      <w:r>
        <w:rPr>
          <w:rFonts w:hint="eastAsia" w:ascii="仿宋_GB2312" w:hAnsi="方正小标宋简体"/>
          <w:kern w:val="2"/>
          <w:sz w:val="32"/>
          <w:szCs w:val="32"/>
        </w:rPr>
        <w:t>公告媒体：常熟市国瑞科技股份有限公司官网。</w:t>
      </w:r>
    </w:p>
    <w:p>
      <w:pPr>
        <w:pStyle w:val="8"/>
        <w:spacing w:before="0" w:beforeAutospacing="0" w:after="0" w:afterAutospacing="0" w:line="440" w:lineRule="exact"/>
        <w:ind w:firstLine="566" w:firstLineChars="177"/>
        <w:jc w:val="both"/>
        <w:rPr>
          <w:rFonts w:ascii="仿宋_GB2312" w:hAnsi="方正小标宋简体"/>
          <w:kern w:val="2"/>
          <w:sz w:val="32"/>
          <w:szCs w:val="32"/>
        </w:rPr>
      </w:pPr>
      <w:r>
        <w:rPr>
          <w:rFonts w:hint="eastAsia" w:ascii="仿宋_GB2312" w:hAnsi="方正小标宋简体"/>
          <w:kern w:val="2"/>
          <w:sz w:val="32"/>
          <w:szCs w:val="32"/>
        </w:rPr>
        <w:t>自本公告发布之日起3个工作日。</w:t>
      </w:r>
    </w:p>
    <w:p>
      <w:pPr>
        <w:spacing w:line="600" w:lineRule="exact"/>
        <w:ind w:firstLine="640" w:firstLineChars="200"/>
        <w:rPr>
          <w:rFonts w:ascii="黑体" w:hAnsi="黑体" w:eastAsia="黑体"/>
        </w:rPr>
      </w:pPr>
      <w:r>
        <w:rPr>
          <w:rFonts w:hint="eastAsia" w:ascii="黑体" w:hAnsi="黑体" w:eastAsia="黑体"/>
        </w:rPr>
        <w:t>四、报价资料要求：</w:t>
      </w:r>
    </w:p>
    <w:p>
      <w:pPr>
        <w:spacing w:line="600" w:lineRule="exact"/>
        <w:ind w:firstLine="640" w:firstLineChars="200"/>
        <w:rPr>
          <w:rFonts w:hAnsi="方正小标宋简体"/>
        </w:rPr>
      </w:pPr>
      <w:r>
        <w:rPr>
          <w:rFonts w:hint="eastAsia" w:hAnsi="方正小标宋简体"/>
        </w:rPr>
        <w:t>请有意向的供应商在报价时间截止前，提供如下资料（资料需加盖公章，按以下顺序装订成册，并用档案袋密封，密封处加盖公章，如无法加盖公章，请在需盖章除和密封处签名）：</w:t>
      </w:r>
    </w:p>
    <w:p>
      <w:pPr>
        <w:spacing w:line="600" w:lineRule="exact"/>
        <w:ind w:firstLine="640" w:firstLineChars="200"/>
        <w:rPr>
          <w:rFonts w:hAnsi="方正小标宋简体"/>
        </w:rPr>
      </w:pPr>
      <w:r>
        <w:rPr>
          <w:rFonts w:hAnsi="方正小标宋简体"/>
        </w:rPr>
        <w:t>1.</w:t>
      </w:r>
      <w:r>
        <w:rPr>
          <w:rFonts w:hint="eastAsia" w:hAnsi="方正小标宋简体"/>
        </w:rPr>
        <w:t>员工团体意外保险</w:t>
      </w:r>
      <w:r>
        <w:rPr>
          <w:rFonts w:hAnsi="方正小标宋简体"/>
        </w:rPr>
        <w:t>报价表</w:t>
      </w:r>
      <w:r>
        <w:rPr>
          <w:rFonts w:hint="eastAsia" w:hAnsi="方正小标宋简体"/>
        </w:rPr>
        <w:t>(见附件1)</w:t>
      </w:r>
    </w:p>
    <w:p>
      <w:pPr>
        <w:spacing w:line="600" w:lineRule="exact"/>
        <w:ind w:firstLine="640" w:firstLineChars="200"/>
        <w:rPr>
          <w:rFonts w:hAnsi="方正小标宋简体"/>
        </w:rPr>
      </w:pPr>
      <w:r>
        <w:rPr>
          <w:rFonts w:hAnsi="方正小标宋简体"/>
        </w:rPr>
        <w:t>2.营业执照</w:t>
      </w:r>
    </w:p>
    <w:p>
      <w:pPr>
        <w:spacing w:line="600" w:lineRule="exact"/>
        <w:ind w:firstLine="640" w:firstLineChars="200"/>
        <w:rPr>
          <w:rFonts w:hAnsi="方正小标宋简体"/>
        </w:rPr>
      </w:pPr>
      <w:r>
        <w:rPr>
          <w:rFonts w:hAnsi="方正小标宋简体"/>
        </w:rPr>
        <w:t>3.企业基本情况介绍</w:t>
      </w:r>
      <w:r>
        <w:rPr>
          <w:rFonts w:hint="eastAsia" w:hAnsi="方正小标宋简体"/>
        </w:rPr>
        <w:t>（见附件2）</w:t>
      </w:r>
      <w:r>
        <w:rPr>
          <w:rFonts w:hAnsi="方正小标宋简体"/>
        </w:rPr>
        <w:t>，包括</w:t>
      </w:r>
      <w:r>
        <w:rPr>
          <w:rFonts w:hint="eastAsia" w:hAnsi="方正小标宋简体"/>
        </w:rPr>
        <w:t>公司介绍</w:t>
      </w:r>
      <w:r>
        <w:rPr>
          <w:rFonts w:hAnsi="方正小标宋简体"/>
        </w:rPr>
        <w:t>、</w:t>
      </w:r>
      <w:r>
        <w:rPr>
          <w:rFonts w:hint="eastAsia" w:hAnsi="方正小标宋简体"/>
        </w:rPr>
        <w:t>过往合作公司</w:t>
      </w:r>
      <w:r>
        <w:rPr>
          <w:rFonts w:hAnsi="方正小标宋简体"/>
        </w:rPr>
        <w:t>等情况</w:t>
      </w:r>
      <w:r>
        <w:rPr>
          <w:rFonts w:hint="eastAsia" w:hAnsi="方正小标宋简体"/>
        </w:rPr>
        <w:t>、企业其他资质及上岗人员资质（见附件3）、</w:t>
      </w:r>
      <w:r>
        <w:rPr>
          <w:rFonts w:hAnsi="方正小标宋简体"/>
        </w:rPr>
        <w:t>近三年</w:t>
      </w:r>
      <w:r>
        <w:rPr>
          <w:rFonts w:hint="eastAsia" w:hAnsi="方正小标宋简体"/>
        </w:rPr>
        <w:t>相关</w:t>
      </w:r>
      <w:r>
        <w:rPr>
          <w:rFonts w:hAnsi="方正小标宋简体"/>
        </w:rPr>
        <w:t>业绩</w:t>
      </w:r>
      <w:r>
        <w:rPr>
          <w:rFonts w:hint="eastAsia" w:hAnsi="方正小标宋简体"/>
        </w:rPr>
        <w:t>等。</w:t>
      </w:r>
    </w:p>
    <w:p>
      <w:pPr>
        <w:pStyle w:val="2"/>
        <w:rPr>
          <w:color w:val="FF0000"/>
          <w:sz w:val="32"/>
          <w:szCs w:val="32"/>
        </w:rPr>
      </w:pPr>
      <w:r>
        <w:rPr>
          <w:rFonts w:hint="eastAsia"/>
          <w:color w:val="FF0000"/>
          <w:sz w:val="32"/>
          <w:szCs w:val="32"/>
        </w:rPr>
        <w:t>（</w:t>
      </w:r>
      <w:r>
        <w:rPr>
          <w:color w:val="FF0000"/>
          <w:sz w:val="32"/>
          <w:szCs w:val="32"/>
        </w:rPr>
        <w:t>1）保险公司应为依法设立的合法机构，具有合法的经营资质，且在国家保险监督管理机构的备案资料中登记合法；</w:t>
      </w:r>
    </w:p>
    <w:p>
      <w:pPr>
        <w:pStyle w:val="2"/>
        <w:rPr>
          <w:color w:val="FF0000"/>
          <w:sz w:val="32"/>
          <w:szCs w:val="32"/>
        </w:rPr>
      </w:pPr>
      <w:r>
        <w:rPr>
          <w:rFonts w:hint="eastAsia"/>
          <w:color w:val="FF0000"/>
          <w:sz w:val="32"/>
          <w:szCs w:val="32"/>
        </w:rPr>
        <w:t>（</w:t>
      </w:r>
      <w:r>
        <w:rPr>
          <w:color w:val="FF0000"/>
          <w:sz w:val="32"/>
          <w:szCs w:val="32"/>
        </w:rPr>
        <w:t>2）保险公司在过去三年内无重大违法违规记录，无法履行保险责任的重大事故；</w:t>
      </w:r>
    </w:p>
    <w:p>
      <w:pPr>
        <w:pStyle w:val="2"/>
        <w:rPr>
          <w:color w:val="FF0000"/>
          <w:sz w:val="32"/>
          <w:szCs w:val="32"/>
        </w:rPr>
      </w:pPr>
      <w:r>
        <w:rPr>
          <w:rFonts w:hint="eastAsia"/>
          <w:color w:val="FF0000"/>
          <w:sz w:val="32"/>
          <w:szCs w:val="32"/>
        </w:rPr>
        <w:t>（</w:t>
      </w:r>
      <w:r>
        <w:rPr>
          <w:color w:val="FF0000"/>
          <w:sz w:val="32"/>
          <w:szCs w:val="32"/>
        </w:rPr>
        <w:t>3）保险公司的注册资本应不低于1亿元；</w:t>
      </w:r>
    </w:p>
    <w:p>
      <w:pPr>
        <w:pStyle w:val="2"/>
        <w:rPr>
          <w:color w:val="FF0000"/>
          <w:sz w:val="32"/>
          <w:szCs w:val="32"/>
        </w:rPr>
      </w:pPr>
      <w:r>
        <w:rPr>
          <w:rFonts w:hint="eastAsia"/>
          <w:color w:val="FF0000"/>
          <w:sz w:val="32"/>
          <w:szCs w:val="32"/>
        </w:rPr>
        <w:t>（</w:t>
      </w:r>
      <w:r>
        <w:rPr>
          <w:color w:val="FF0000"/>
          <w:sz w:val="32"/>
          <w:szCs w:val="32"/>
        </w:rPr>
        <w:t>4）保险公司应具有较强的风险管理和预防控制能力，并能提供专业化的售前、售中及售后服务；</w:t>
      </w:r>
    </w:p>
    <w:p>
      <w:pPr>
        <w:pStyle w:val="2"/>
        <w:rPr>
          <w:color w:val="FF0000"/>
        </w:rPr>
      </w:pPr>
      <w:r>
        <w:rPr>
          <w:rFonts w:hint="eastAsia"/>
          <w:color w:val="FF0000"/>
          <w:sz w:val="32"/>
          <w:szCs w:val="32"/>
        </w:rPr>
        <w:t>（</w:t>
      </w:r>
      <w:r>
        <w:rPr>
          <w:color w:val="FF0000"/>
          <w:sz w:val="32"/>
          <w:szCs w:val="32"/>
        </w:rPr>
        <w:t>5）保险公司应具有良好的信誉和业界知名度。</w:t>
      </w:r>
    </w:p>
    <w:p>
      <w:pPr>
        <w:spacing w:line="600" w:lineRule="exact"/>
        <w:ind w:firstLine="640" w:firstLineChars="200"/>
        <w:rPr>
          <w:rFonts w:hAnsi="方正小标宋简体"/>
        </w:rPr>
      </w:pPr>
      <w:r>
        <w:rPr>
          <w:rFonts w:hAnsi="方正小标宋简体"/>
        </w:rPr>
        <w:t>4.其他需要说明的材料（若有）</w:t>
      </w:r>
    </w:p>
    <w:p>
      <w:pPr>
        <w:spacing w:line="600" w:lineRule="exact"/>
        <w:ind w:firstLine="1280" w:firstLineChars="400"/>
        <w:rPr>
          <w:rFonts w:hAnsi="方正小标宋简体"/>
        </w:rPr>
      </w:pPr>
      <w:r>
        <w:rPr>
          <w:rFonts w:hint="eastAsia" w:hAnsi="方正小标宋简体"/>
        </w:rPr>
        <w:t>联系人：邵磊，联系方式：18626237997</w:t>
      </w:r>
    </w:p>
    <w:p>
      <w:pPr>
        <w:spacing w:line="600" w:lineRule="exact"/>
        <w:jc w:val="center"/>
        <w:rPr>
          <w:rFonts w:hAnsi="方正小标宋简体"/>
        </w:rPr>
      </w:pPr>
      <w:r>
        <w:rPr>
          <w:rFonts w:hint="eastAsia" w:hAnsi="方正小标宋简体"/>
        </w:rPr>
        <w:t>监督电话：</w:t>
      </w:r>
      <w:r>
        <w:rPr>
          <w:rFonts w:hAnsi="方正小标宋简体"/>
        </w:rPr>
        <w:t xml:space="preserve">0512-52121551                                                         </w:t>
      </w:r>
      <w:r>
        <w:rPr>
          <w:rFonts w:hint="eastAsia" w:hAnsi="方正小标宋简体"/>
          <w:lang w:val="en-US" w:eastAsia="zh-CN"/>
        </w:rPr>
        <w:t xml:space="preserve">       </w:t>
      </w:r>
      <w:r>
        <w:rPr>
          <w:rFonts w:hAnsi="方正小标宋简体"/>
        </w:rPr>
        <w:t>采购单位：常熟市国瑞科技股份有限公司</w:t>
      </w:r>
    </w:p>
    <w:p>
      <w:pPr>
        <w:spacing w:line="600" w:lineRule="exact"/>
        <w:ind w:right="1280" w:rightChars="400"/>
        <w:jc w:val="right"/>
        <w:rPr>
          <w:rFonts w:hAnsi="方正小标宋简体"/>
        </w:rPr>
      </w:pPr>
      <w:r>
        <w:rPr>
          <w:rFonts w:hAnsi="方正小标宋简体"/>
        </w:rPr>
        <w:t>2024年</w:t>
      </w:r>
      <w:r>
        <w:rPr>
          <w:rFonts w:hint="eastAsia" w:hAnsi="方正小标宋简体"/>
        </w:rPr>
        <w:t>6</w:t>
      </w:r>
      <w:r>
        <w:rPr>
          <w:rFonts w:hAnsi="方正小标宋简体"/>
        </w:rPr>
        <w:t>月</w:t>
      </w:r>
      <w:r>
        <w:rPr>
          <w:rFonts w:hint="eastAsia" w:hAnsi="方正小标宋简体"/>
          <w:lang w:val="en-US" w:eastAsia="zh-CN"/>
        </w:rPr>
        <w:t>25</w:t>
      </w:r>
      <w:r>
        <w:rPr>
          <w:rFonts w:hAnsi="方正小标宋简体"/>
        </w:rPr>
        <w:t>日</w:t>
      </w:r>
    </w:p>
    <w:p>
      <w:pPr>
        <w:pStyle w:val="2"/>
        <w:rPr>
          <w:rFonts w:hAnsi="方正小标宋简体"/>
        </w:rPr>
      </w:pPr>
    </w:p>
    <w:p>
      <w:pPr>
        <w:pStyle w:val="3"/>
        <w:rPr>
          <w:rFonts w:hAnsi="方正小标宋简体"/>
        </w:rPr>
      </w:pPr>
    </w:p>
    <w:p>
      <w:pPr>
        <w:pStyle w:val="3"/>
        <w:rPr>
          <w:rFonts w:hAnsi="方正小标宋简体"/>
        </w:rPr>
      </w:pPr>
    </w:p>
    <w:p>
      <w:pPr>
        <w:pStyle w:val="3"/>
        <w:rPr>
          <w:rFonts w:hAnsi="方正小标宋简体"/>
        </w:rPr>
      </w:pPr>
    </w:p>
    <w:p>
      <w:pPr>
        <w:pStyle w:val="3"/>
        <w:rPr>
          <w:rFonts w:hAnsi="方正小标宋简体"/>
        </w:rPr>
      </w:pPr>
    </w:p>
    <w:p>
      <w:pPr>
        <w:pStyle w:val="3"/>
        <w:rPr>
          <w:rFonts w:hAnsi="方正小标宋简体"/>
        </w:rPr>
      </w:pPr>
    </w:p>
    <w:p>
      <w:pPr>
        <w:pStyle w:val="3"/>
        <w:rPr>
          <w:rFonts w:hAnsi="方正小标宋简体"/>
        </w:rPr>
      </w:pPr>
    </w:p>
    <w:p>
      <w:pPr>
        <w:pStyle w:val="3"/>
        <w:rPr>
          <w:rFonts w:hAnsi="方正小标宋简体"/>
        </w:rPr>
      </w:pPr>
    </w:p>
    <w:p>
      <w:pPr>
        <w:pStyle w:val="3"/>
        <w:rPr>
          <w:rFonts w:hAnsi="方正小标宋简体"/>
        </w:rPr>
      </w:pPr>
    </w:p>
    <w:p>
      <w:pPr>
        <w:pStyle w:val="3"/>
        <w:rPr>
          <w:rFonts w:hAnsi="方正小标宋简体"/>
        </w:rPr>
      </w:pPr>
    </w:p>
    <w:p>
      <w:pPr>
        <w:pStyle w:val="3"/>
        <w:rPr>
          <w:rFonts w:hAnsi="方正小标宋简体"/>
        </w:rPr>
      </w:pPr>
    </w:p>
    <w:p>
      <w:pPr>
        <w:pStyle w:val="3"/>
        <w:rPr>
          <w:rFonts w:hAnsi="方正小标宋简体"/>
        </w:rPr>
      </w:pPr>
    </w:p>
    <w:p>
      <w:pPr>
        <w:pStyle w:val="3"/>
        <w:rPr>
          <w:rFonts w:hAnsi="方正小标宋简体"/>
        </w:rPr>
      </w:pPr>
    </w:p>
    <w:p>
      <w:pPr>
        <w:pStyle w:val="3"/>
        <w:rPr>
          <w:rFonts w:hAnsi="方正小标宋简体"/>
        </w:rPr>
      </w:pPr>
    </w:p>
    <w:p>
      <w:pPr>
        <w:pStyle w:val="3"/>
        <w:rPr>
          <w:rFonts w:hAnsi="方正小标宋简体"/>
        </w:rPr>
      </w:pPr>
    </w:p>
    <w:p>
      <w:pPr>
        <w:pStyle w:val="3"/>
        <w:rPr>
          <w:rFonts w:hAnsi="方正小标宋简体"/>
        </w:rPr>
      </w:pPr>
    </w:p>
    <w:p>
      <w:pPr>
        <w:pStyle w:val="3"/>
        <w:rPr>
          <w:rFonts w:hAnsi="方正小标宋简体"/>
        </w:rPr>
      </w:pPr>
    </w:p>
    <w:p>
      <w:pPr>
        <w:pStyle w:val="3"/>
        <w:rPr>
          <w:rFonts w:hAnsi="方正小标宋简体"/>
        </w:rPr>
      </w:pPr>
    </w:p>
    <w:p>
      <w:pPr>
        <w:pStyle w:val="3"/>
        <w:rPr>
          <w:rFonts w:hAnsi="方正小标宋简体"/>
        </w:rPr>
      </w:pPr>
    </w:p>
    <w:p>
      <w:pPr>
        <w:pStyle w:val="3"/>
        <w:rPr>
          <w:rFonts w:hAnsi="方正小标宋简体"/>
        </w:rPr>
      </w:pPr>
    </w:p>
    <w:p>
      <w:pPr>
        <w:pStyle w:val="3"/>
        <w:rPr>
          <w:rFonts w:hAnsi="方正小标宋简体"/>
        </w:rPr>
      </w:pPr>
    </w:p>
    <w:p>
      <w:pPr>
        <w:pStyle w:val="3"/>
        <w:rPr>
          <w:rFonts w:hint="eastAsia"/>
          <w:sz w:val="32"/>
          <w:szCs w:val="32"/>
        </w:rPr>
      </w:pPr>
      <w:r>
        <w:rPr>
          <w:rFonts w:hint="eastAsia"/>
          <w:sz w:val="32"/>
          <w:szCs w:val="32"/>
        </w:rPr>
        <w:t>附件：</w:t>
      </w:r>
    </w:p>
    <w:p>
      <w:pPr>
        <w:pStyle w:val="3"/>
        <w:rPr>
          <w:rFonts w:hint="eastAsia"/>
          <w:sz w:val="32"/>
          <w:szCs w:val="32"/>
        </w:rPr>
      </w:pPr>
    </w:p>
    <w:p>
      <w:pPr>
        <w:pStyle w:val="3"/>
        <w:ind w:firstLine="3200" w:firstLineChars="1000"/>
        <w:rPr>
          <w:sz w:val="32"/>
          <w:szCs w:val="32"/>
        </w:rPr>
      </w:pPr>
      <w:r>
        <w:rPr>
          <w:rFonts w:hint="eastAsia"/>
          <w:sz w:val="32"/>
          <w:szCs w:val="32"/>
        </w:rPr>
        <w:t>重疾的范围及定义</w:t>
      </w:r>
    </w:p>
    <w:p>
      <w:pPr>
        <w:pStyle w:val="3"/>
        <w:rPr>
          <w:sz w:val="28"/>
          <w:szCs w:val="28"/>
        </w:rPr>
      </w:pPr>
      <w:r>
        <w:rPr>
          <w:rFonts w:hint="eastAsia"/>
          <w:sz w:val="32"/>
          <w:szCs w:val="32"/>
        </w:rPr>
        <w:t>本项目所指的重大疾病是指</w:t>
      </w:r>
      <w:r>
        <w:rPr>
          <w:sz w:val="32"/>
          <w:szCs w:val="32"/>
        </w:rPr>
        <w:t>:(1)恶性肿瘤(2)性心肌梗塞(3)脑中风后遗症(4)重大器官移植术或造血干细胞移植术(5)冠状动脉搭桥术(或称冠状动脉旁路移术)，指为治疗严重的冠心病，扩展以下介入手术:冠状动脉支架植入术、心导管球囊扩张术、激光射频技术及其他治疗冠状动脉的介入手术、腔镜手术(6)终末期肾病(或称性肾功能衰竭尿毒症期)，指双肾功能慢性不可逆性衰竭，达到尿毒症期，或实施了肾脏移植手术(7)多个肢体缺失(8)急性或亚急性重症肝炎(9)良性脑肿瘤(10)慢性肝功能衰竭失代偿期(11)脑炎后遗症或脑膜炎后</w:t>
      </w:r>
      <w:r>
        <w:rPr>
          <w:rFonts w:hint="eastAsia"/>
          <w:sz w:val="32"/>
          <w:szCs w:val="32"/>
        </w:rPr>
        <w:t>遗症</w:t>
      </w:r>
      <w:r>
        <w:rPr>
          <w:sz w:val="32"/>
          <w:szCs w:val="32"/>
        </w:rPr>
        <w:t>(12)深度昏迷(13)双耳失聪(14)双日失明(15)癌(16)心脏瓣膜手术(17)严重阿尔茨海默病(18)严重脑损伤(19)严重帕金森病(20)严重II度烧伤(21)严重原发性肺动脉高压(22)严重运动神经元病(23)语言能力丧失(24)重型再生障碍性贫血(25)主动脉手术(26)原发性心肌病，指不明原因引起的一类心肌病变，包括原发性扩张型心肌病、原发性肥厚型心肌病及原发性限制型心肌病三种，病变必须已造成事实上心室功能障碍而出现明显的心功能衰竭(美国纽约心脏协会心功能分类标准心功能达匹级)，且有相关</w:t>
      </w:r>
      <w:r>
        <w:rPr>
          <w:rFonts w:hint="eastAsia"/>
          <w:sz w:val="32"/>
          <w:szCs w:val="32"/>
        </w:rPr>
        <w:t>住院医疗记录显示四级心功能衰竭状态持续至少一百八十天。本病须经专科医师明确诊断。继发于全身性疾病或其它器官系统疾病造成的心肌病变除外。美国纽约心脏协会分类标准心功能四级是指有医院的医疗记录显示病人不能进行任何活动，休息时仍有心悸、呼吸困难等心力衰竭表现</w:t>
      </w:r>
      <w:r>
        <w:rPr>
          <w:sz w:val="32"/>
          <w:szCs w:val="32"/>
        </w:rPr>
        <w:t>(27)终末期肺病，指因终末期肺病而出现慢性呼吸功能衰竭，其诊断需同时符合以下的标准，并在申请保险金时提供以下各项中相应的医院证明文件或检查报告:</w:t>
      </w:r>
      <w:r>
        <w:rPr>
          <w:rFonts w:hint="eastAsia" w:ascii="宋体" w:hAnsi="宋体" w:eastAsia="宋体"/>
          <w:sz w:val="32"/>
          <w:szCs w:val="32"/>
        </w:rPr>
        <w:t>①</w:t>
      </w:r>
      <w:r>
        <w:rPr>
          <w:sz w:val="32"/>
          <w:szCs w:val="32"/>
        </w:rPr>
        <w:t>肺功能测试其FEV1持续低于0.75升;</w:t>
      </w:r>
      <w:r>
        <w:rPr>
          <w:rFonts w:hint="eastAsia" w:ascii="宋体" w:hAnsi="宋体" w:eastAsia="宋体"/>
          <w:sz w:val="32"/>
          <w:szCs w:val="32"/>
        </w:rPr>
        <w:t>②</w:t>
      </w:r>
      <w:r>
        <w:rPr>
          <w:sz w:val="32"/>
          <w:szCs w:val="32"/>
        </w:rPr>
        <w:t>病人缺氧必须广泛而持续地进行输氧治疗;动脉血气分析氧分压低于55mmHg(28)多发性硬化症，指因中枢神经系统脱髓鞘而导致的不可逆的身体部位的功能障碍，雪由神经科医生提供明确诊断，并有C或核磁共振检查结果诊断报告。所谓不可逆的身体部位功能障碍指初次诊断为功能障碍后需持续一百八十天以上。其诊断必须包含以下全部内容:</w:t>
      </w:r>
      <w:r>
        <w:rPr>
          <w:rFonts w:hint="eastAsia" w:ascii="宋体" w:hAnsi="宋体" w:eastAsia="宋体"/>
          <w:sz w:val="32"/>
          <w:szCs w:val="32"/>
        </w:rPr>
        <w:t>①</w:t>
      </w:r>
      <w:r>
        <w:rPr>
          <w:sz w:val="32"/>
          <w:szCs w:val="32"/>
        </w:rPr>
        <w:t>由于视神经、脑干、脊髓损伤而导致的临床表现;</w:t>
      </w:r>
      <w:r>
        <w:rPr>
          <w:rFonts w:hint="eastAsia" w:ascii="宋体" w:hAnsi="宋体" w:eastAsia="宋体"/>
          <w:sz w:val="32"/>
          <w:szCs w:val="32"/>
        </w:rPr>
        <w:t>②</w:t>
      </w:r>
      <w:r>
        <w:rPr>
          <w:sz w:val="32"/>
          <w:szCs w:val="32"/>
        </w:rPr>
        <w:t>散在的身体损害的多发性;</w:t>
      </w:r>
      <w:r>
        <w:rPr>
          <w:rFonts w:hint="eastAsia" w:ascii="宋体" w:hAnsi="宋体" w:eastAsia="宋体"/>
          <w:sz w:val="32"/>
          <w:szCs w:val="32"/>
        </w:rPr>
        <w:t>③</w:t>
      </w:r>
      <w:r>
        <w:rPr>
          <w:sz w:val="32"/>
          <w:szCs w:val="32"/>
        </w:rPr>
        <w:t>上述症状反复发作、恶化及神经损伤的病史记录(29)系统性红斑狼疮 累及肾脏，指多系统、多因子的自身免疫疾病，其特征是产生自身抗体对抗各种自身抗原。本项目所指的系统性红斑狼疮只限于系统性红斑狼疮并</w:t>
      </w:r>
      <w:r>
        <w:rPr>
          <w:rFonts w:hint="eastAsia"/>
          <w:sz w:val="32"/>
          <w:szCs w:val="32"/>
        </w:rPr>
        <w:t>发狼疮性肾炎，因此引起肾功能损害。本项目所指的狼疮性肾炎是指符合以下列明的也界卫生组织</w:t>
      </w:r>
      <w:r>
        <w:rPr>
          <w:sz w:val="32"/>
          <w:szCs w:val="32"/>
        </w:rPr>
        <w:t>(WHO)对狼疮性肾炎所分类型中的第三型、第四型及第五型，同时需透过肾活体组织检查确诊。世界卫生组织(WHO)对狼疮性肾炎的分类标准:第一型-轻微病变型狼疮性肾小球肾炎、第二型-系膜增殖型狼疮性肾小球肾炎、第三型-局灶及节段性增殖型狼疮性肾小球肾炎、第四型-弥漫性增殖型狼疮性肾小球肾炎、第五型-广泛的肾小球基底膜增厚的膜型狼疮性肾小球肾炎(30)肌营养不良症，指骨骼肌对称地进行性无力和萎缩，其诊断需同时符合以下条件:</w:t>
      </w:r>
      <w:r>
        <w:rPr>
          <w:rFonts w:hint="eastAsia" w:ascii="宋体" w:hAnsi="宋体" w:eastAsia="宋体"/>
          <w:sz w:val="32"/>
          <w:szCs w:val="32"/>
        </w:rPr>
        <w:t>①</w:t>
      </w:r>
      <w:r>
        <w:rPr>
          <w:sz w:val="32"/>
          <w:szCs w:val="32"/>
        </w:rPr>
        <w:t>肌电</w:t>
      </w:r>
      <w:r>
        <w:rPr>
          <w:rFonts w:hint="eastAsia"/>
          <w:sz w:val="32"/>
          <w:szCs w:val="32"/>
        </w:rPr>
        <w:t>图显示典型肌营养不良症的阳性改变</w:t>
      </w:r>
      <w:r>
        <w:rPr>
          <w:sz w:val="32"/>
          <w:szCs w:val="32"/>
        </w:rPr>
        <w:t>;</w:t>
      </w:r>
      <w:r>
        <w:rPr>
          <w:rFonts w:hint="eastAsia" w:ascii="宋体" w:hAnsi="宋体" w:eastAsia="宋体"/>
          <w:sz w:val="32"/>
          <w:szCs w:val="32"/>
        </w:rPr>
        <w:t>②</w:t>
      </w:r>
      <w:r>
        <w:rPr>
          <w:sz w:val="32"/>
          <w:szCs w:val="32"/>
        </w:rPr>
        <w:t>肌肉活检的病理学诊断符合肌营养不良症的肌肉细胞变性、坏死等阳性改变。</w:t>
      </w:r>
      <w:r>
        <w:rPr>
          <w:rFonts w:hint="eastAsia" w:ascii="宋体" w:hAnsi="宋体" w:eastAsia="宋体"/>
          <w:sz w:val="32"/>
          <w:szCs w:val="32"/>
        </w:rPr>
        <w:t>③</w:t>
      </w:r>
      <w:r>
        <w:rPr>
          <w:sz w:val="32"/>
          <w:szCs w:val="32"/>
        </w:rPr>
        <w:t>无法独立完成六项基本日常生活活动(i穿衣:自己能够穿衣及脱衣;ii移动:自己从一个房间到另一个房间;iii行动:自己上下床或上下轮椅;iv如厕:自己控制进行大小便;v进食:自己从已准备好的碗或碟中取食物放入口中;vi洗澡:自己进行淋浴或盆浴中的一项或三项以上。</w:t>
      </w:r>
    </w:p>
    <w:sectPr>
      <w:footerReference r:id="rId3" w:type="default"/>
      <w:pgSz w:w="11906" w:h="16838"/>
      <w:pgMar w:top="993" w:right="1416" w:bottom="851" w:left="170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6530734"/>
    </w:sdtPr>
    <w:sdtEndPr>
      <w:rPr>
        <w:rFonts w:hint="eastAsia" w:ascii="仿宋_GB2312" w:eastAsia="仿宋_GB2312"/>
        <w:sz w:val="28"/>
        <w:szCs w:val="28"/>
      </w:rPr>
    </w:sdtEndPr>
    <w:sdtContent>
      <w:p>
        <w:pPr>
          <w:pStyle w:val="6"/>
          <w:jc w:val="center"/>
          <w:rPr>
            <w:rFonts w:ascii="仿宋_GB2312" w:eastAsia="仿宋_GB2312"/>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PAGE   \* MERGEFORMAT</w:instrText>
        </w:r>
        <w:r>
          <w:rPr>
            <w:rFonts w:hint="eastAsia" w:ascii="仿宋_GB2312" w:eastAsia="仿宋_GB2312"/>
            <w:sz w:val="28"/>
            <w:szCs w:val="28"/>
          </w:rPr>
          <w:fldChar w:fldCharType="separate"/>
        </w:r>
        <w:r>
          <w:rPr>
            <w:rFonts w:ascii="仿宋_GB2312" w:eastAsia="仿宋_GB2312"/>
            <w:sz w:val="28"/>
            <w:szCs w:val="28"/>
            <w:lang w:val="zh-CN"/>
          </w:rPr>
          <w:t>-</w:t>
        </w:r>
        <w:r>
          <w:rPr>
            <w:rFonts w:ascii="仿宋_GB2312" w:eastAsia="仿宋_GB2312"/>
            <w:sz w:val="28"/>
            <w:szCs w:val="28"/>
          </w:rPr>
          <w:t xml:space="preserve"> 1 -</w:t>
        </w:r>
        <w:r>
          <w:rPr>
            <w:rFonts w:hint="eastAsia" w:ascii="仿宋_GB2312" w:eastAsia="仿宋_GB2312"/>
            <w:sz w:val="28"/>
            <w:szCs w:val="28"/>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E0ZThmNGM4YjEzOTM1MWVmNmI1YzMwY2E3ZWI4OGYifQ=="/>
  </w:docVars>
  <w:rsids>
    <w:rsidRoot w:val="00C467AD"/>
    <w:rsid w:val="0002089F"/>
    <w:rsid w:val="000270D4"/>
    <w:rsid w:val="000411B9"/>
    <w:rsid w:val="0005379C"/>
    <w:rsid w:val="00054741"/>
    <w:rsid w:val="00060199"/>
    <w:rsid w:val="0006087C"/>
    <w:rsid w:val="000D7EC8"/>
    <w:rsid w:val="000E59FB"/>
    <w:rsid w:val="00130CAE"/>
    <w:rsid w:val="00141D57"/>
    <w:rsid w:val="00163EC7"/>
    <w:rsid w:val="00165EA1"/>
    <w:rsid w:val="0017231B"/>
    <w:rsid w:val="001A4D4F"/>
    <w:rsid w:val="001B6C74"/>
    <w:rsid w:val="001C11C4"/>
    <w:rsid w:val="0027010F"/>
    <w:rsid w:val="0028157F"/>
    <w:rsid w:val="002D2EC4"/>
    <w:rsid w:val="00316FE7"/>
    <w:rsid w:val="0034401A"/>
    <w:rsid w:val="00360768"/>
    <w:rsid w:val="003A57FC"/>
    <w:rsid w:val="00413242"/>
    <w:rsid w:val="00430C16"/>
    <w:rsid w:val="00472A22"/>
    <w:rsid w:val="005531EB"/>
    <w:rsid w:val="00581E34"/>
    <w:rsid w:val="00585D5F"/>
    <w:rsid w:val="005862A4"/>
    <w:rsid w:val="0064797C"/>
    <w:rsid w:val="00673A67"/>
    <w:rsid w:val="00675ACF"/>
    <w:rsid w:val="006B7E2A"/>
    <w:rsid w:val="006C5C9A"/>
    <w:rsid w:val="006F6BC7"/>
    <w:rsid w:val="00704ADC"/>
    <w:rsid w:val="007123E5"/>
    <w:rsid w:val="0076517C"/>
    <w:rsid w:val="00854307"/>
    <w:rsid w:val="008C51FC"/>
    <w:rsid w:val="008C6AFD"/>
    <w:rsid w:val="008D704F"/>
    <w:rsid w:val="009218BA"/>
    <w:rsid w:val="00924C3B"/>
    <w:rsid w:val="009A3273"/>
    <w:rsid w:val="00A35DAB"/>
    <w:rsid w:val="00A407D0"/>
    <w:rsid w:val="00A92F06"/>
    <w:rsid w:val="00A9740B"/>
    <w:rsid w:val="00AC75B8"/>
    <w:rsid w:val="00AE375F"/>
    <w:rsid w:val="00AF6387"/>
    <w:rsid w:val="00B20F84"/>
    <w:rsid w:val="00B3381E"/>
    <w:rsid w:val="00B47BA6"/>
    <w:rsid w:val="00B5436D"/>
    <w:rsid w:val="00B649BE"/>
    <w:rsid w:val="00B67932"/>
    <w:rsid w:val="00B721C5"/>
    <w:rsid w:val="00B778E8"/>
    <w:rsid w:val="00BE3699"/>
    <w:rsid w:val="00BF582F"/>
    <w:rsid w:val="00C2096C"/>
    <w:rsid w:val="00C2198C"/>
    <w:rsid w:val="00C311A6"/>
    <w:rsid w:val="00C32C0C"/>
    <w:rsid w:val="00C467AD"/>
    <w:rsid w:val="00C54401"/>
    <w:rsid w:val="00C6661F"/>
    <w:rsid w:val="00C83346"/>
    <w:rsid w:val="00CC0E83"/>
    <w:rsid w:val="00CD012A"/>
    <w:rsid w:val="00D138F9"/>
    <w:rsid w:val="00D674A2"/>
    <w:rsid w:val="00E2630B"/>
    <w:rsid w:val="00E746BB"/>
    <w:rsid w:val="00E810FB"/>
    <w:rsid w:val="00F02052"/>
    <w:rsid w:val="00F118F3"/>
    <w:rsid w:val="00F714D7"/>
    <w:rsid w:val="00F80A20"/>
    <w:rsid w:val="00F83539"/>
    <w:rsid w:val="00F97E05"/>
    <w:rsid w:val="00FA4118"/>
    <w:rsid w:val="00FD186A"/>
    <w:rsid w:val="00FF63FF"/>
    <w:rsid w:val="00FF7705"/>
    <w:rsid w:val="04F67900"/>
    <w:rsid w:val="051E1E7A"/>
    <w:rsid w:val="07E43F01"/>
    <w:rsid w:val="0C8651A3"/>
    <w:rsid w:val="0E6E7F88"/>
    <w:rsid w:val="207E2A4D"/>
    <w:rsid w:val="23326CEC"/>
    <w:rsid w:val="26EB4DFB"/>
    <w:rsid w:val="340B6820"/>
    <w:rsid w:val="3B4F048B"/>
    <w:rsid w:val="3BE21E11"/>
    <w:rsid w:val="4DAF2324"/>
    <w:rsid w:val="4E5D0BD5"/>
    <w:rsid w:val="50D0766C"/>
    <w:rsid w:val="5AD057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iPriority="99"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宋体" w:eastAsia="仿宋_GB2312" w:cs="宋体"/>
      <w:kern w:val="2"/>
      <w:sz w:val="32"/>
      <w:szCs w:val="32"/>
      <w:lang w:val="en-US" w:eastAsia="zh-CN" w:bidi="ar-SA"/>
    </w:rPr>
  </w:style>
  <w:style w:type="paragraph" w:styleId="4">
    <w:name w:val="heading 1"/>
    <w:basedOn w:val="1"/>
    <w:next w:val="1"/>
    <w:link w:val="12"/>
    <w:qFormat/>
    <w:uiPriority w:val="9"/>
    <w:pPr>
      <w:widowControl/>
      <w:spacing w:before="100" w:beforeAutospacing="1" w:after="100" w:afterAutospacing="1"/>
      <w:jc w:val="left"/>
      <w:outlineLvl w:val="0"/>
    </w:pPr>
    <w:rPr>
      <w:rFonts w:ascii="宋体" w:eastAsia="宋体"/>
      <w:b/>
      <w:bCs/>
      <w:kern w:val="36"/>
      <w:sz w:val="48"/>
      <w:szCs w:val="48"/>
    </w:rPr>
  </w:style>
  <w:style w:type="character" w:default="1" w:styleId="10">
    <w:name w:val="Default Paragraph Font"/>
    <w:semiHidden/>
    <w:unhideWhenUsed/>
    <w:qFormat/>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2">
    <w:name w:val="Body Text Indent"/>
    <w:basedOn w:val="1"/>
    <w:next w:val="3"/>
    <w:qFormat/>
    <w:uiPriority w:val="99"/>
    <w:pPr>
      <w:adjustRightInd w:val="0"/>
      <w:spacing w:line="312" w:lineRule="atLeast"/>
      <w:ind w:firstLine="574"/>
      <w:textAlignment w:val="baseline"/>
    </w:pPr>
    <w:rPr>
      <w:rFonts w:ascii="宋体"/>
      <w:kern w:val="0"/>
      <w:sz w:val="28"/>
    </w:rPr>
  </w:style>
  <w:style w:type="paragraph" w:styleId="3">
    <w:name w:val="envelope return"/>
    <w:basedOn w:val="1"/>
    <w:unhideWhenUsed/>
    <w:qFormat/>
    <w:uiPriority w:val="99"/>
    <w:pPr>
      <w:snapToGrid w:val="0"/>
    </w:pPr>
    <w:rPr>
      <w:rFonts w:ascii="Arial" w:hAnsi="Arial"/>
    </w:rPr>
  </w:style>
  <w:style w:type="paragraph" w:styleId="5">
    <w:name w:val="Date"/>
    <w:basedOn w:val="1"/>
    <w:next w:val="1"/>
    <w:link w:val="15"/>
    <w:semiHidden/>
    <w:unhideWhenUsed/>
    <w:qFormat/>
    <w:uiPriority w:val="99"/>
    <w:pPr>
      <w:ind w:left="100" w:leftChars="2500"/>
    </w:pPr>
  </w:style>
  <w:style w:type="paragraph" w:styleId="6">
    <w:name w:val="footer"/>
    <w:basedOn w:val="1"/>
    <w:link w:val="14"/>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7">
    <w:name w:val="header"/>
    <w:basedOn w:val="1"/>
    <w:link w:val="13"/>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8">
    <w:name w:val="Normal (Web)"/>
    <w:basedOn w:val="1"/>
    <w:qFormat/>
    <w:uiPriority w:val="99"/>
    <w:pPr>
      <w:widowControl/>
      <w:spacing w:before="100" w:beforeAutospacing="1" w:after="100" w:afterAutospacing="1"/>
      <w:jc w:val="left"/>
    </w:pPr>
    <w:rPr>
      <w:rFonts w:ascii="宋体"/>
      <w:kern w:val="0"/>
      <w:sz w:val="24"/>
      <w:szCs w:val="24"/>
    </w:rPr>
  </w:style>
  <w:style w:type="character" w:styleId="11">
    <w:name w:val="Hyperlink"/>
    <w:qFormat/>
    <w:uiPriority w:val="99"/>
    <w:rPr>
      <w:color w:val="0000FF"/>
      <w:u w:val="single"/>
    </w:rPr>
  </w:style>
  <w:style w:type="character" w:customStyle="1" w:styleId="12">
    <w:name w:val="标题 1 字符"/>
    <w:basedOn w:val="10"/>
    <w:link w:val="4"/>
    <w:qFormat/>
    <w:uiPriority w:val="9"/>
    <w:rPr>
      <w:rFonts w:ascii="宋体" w:hAnsi="宋体" w:eastAsia="宋体" w:cs="宋体"/>
      <w:b/>
      <w:bCs/>
      <w:kern w:val="36"/>
      <w:sz w:val="48"/>
      <w:szCs w:val="48"/>
    </w:rPr>
  </w:style>
  <w:style w:type="character" w:customStyle="1" w:styleId="13">
    <w:name w:val="页眉 字符"/>
    <w:basedOn w:val="10"/>
    <w:link w:val="7"/>
    <w:qFormat/>
    <w:uiPriority w:val="99"/>
    <w:rPr>
      <w:sz w:val="18"/>
      <w:szCs w:val="18"/>
    </w:rPr>
  </w:style>
  <w:style w:type="character" w:customStyle="1" w:styleId="14">
    <w:name w:val="页脚 字符"/>
    <w:basedOn w:val="10"/>
    <w:link w:val="6"/>
    <w:qFormat/>
    <w:uiPriority w:val="99"/>
    <w:rPr>
      <w:sz w:val="18"/>
      <w:szCs w:val="18"/>
    </w:rPr>
  </w:style>
  <w:style w:type="character" w:customStyle="1" w:styleId="15">
    <w:name w:val="日期 字符"/>
    <w:basedOn w:val="10"/>
    <w:link w:val="5"/>
    <w:semiHidden/>
    <w:qFormat/>
    <w:uiPriority w:val="99"/>
    <w:rPr>
      <w:rFonts w:ascii="仿宋_GB2312" w:hAnsi="宋体" w:eastAsia="仿宋_GB2312" w:cs="宋体"/>
      <w:kern w:val="2"/>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5</Pages>
  <Words>2494</Words>
  <Characters>2676</Characters>
  <Lines>20</Lines>
  <Paragraphs>5</Paragraphs>
  <TotalTime>1091</TotalTime>
  <ScaleCrop>false</ScaleCrop>
  <LinksUpToDate>false</LinksUpToDate>
  <CharactersWithSpaces>2761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2024-04-02T01:13:00Z</dcterms:created>
  <dc:creator>China</dc:creator>
  <cp:lastModifiedBy>一一磊</cp:lastModifiedBy>
  <cp:lastPrinted>2024-06-25T10:08:43Z</cp:lastPrinted>
  <dcterms:modified xsi:type="dcterms:W3CDTF">2024-06-25T10:08:46Z</dcterms:modified>
  <cp:revision>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65984E9B6D0842438CB09ECEF795D5CE</vt:lpwstr>
  </property>
</Properties>
</file>